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3A" w:rsidRPr="000F674F" w:rsidRDefault="0036493A" w:rsidP="0036493A">
      <w:pPr>
        <w:ind w:right="-589" w:hanging="851"/>
        <w:rPr>
          <w:rFonts w:ascii="Verdana" w:hAnsi="Verdana"/>
          <w:b/>
          <w:color w:val="4F6228" w:themeColor="accent3" w:themeShade="80"/>
          <w:highlight w:val="lightGray"/>
        </w:rPr>
      </w:pPr>
    </w:p>
    <w:p w:rsidR="005A0975" w:rsidRPr="000F674F" w:rsidRDefault="005A0975" w:rsidP="0036493A">
      <w:pPr>
        <w:ind w:right="-589" w:hanging="851"/>
        <w:rPr>
          <w:rFonts w:ascii="Verdana" w:hAnsi="Verdana"/>
          <w:b/>
          <w:color w:val="4F6228" w:themeColor="accent3" w:themeShade="80"/>
          <w:highlight w:val="lightGray"/>
        </w:rPr>
      </w:pPr>
    </w:p>
    <w:tbl>
      <w:tblPr>
        <w:tblStyle w:val="TableGrid"/>
        <w:tblW w:w="22397" w:type="dxa"/>
        <w:tblInd w:w="-601" w:type="dxa"/>
        <w:tblLook w:val="04A0" w:firstRow="1" w:lastRow="0" w:firstColumn="1" w:lastColumn="0" w:noHBand="0" w:noVBand="1"/>
      </w:tblPr>
      <w:tblGrid>
        <w:gridCol w:w="6946"/>
        <w:gridCol w:w="6096"/>
        <w:gridCol w:w="4536"/>
        <w:gridCol w:w="4819"/>
      </w:tblGrid>
      <w:tr w:rsidR="0036493A" w:rsidRPr="000F674F" w:rsidTr="00F11C09">
        <w:tc>
          <w:tcPr>
            <w:tcW w:w="6946" w:type="dxa"/>
            <w:tcBorders>
              <w:top w:val="nil"/>
              <w:left w:val="nil"/>
              <w:bottom w:val="nil"/>
              <w:right w:val="single" w:sz="4" w:space="0" w:color="auto"/>
            </w:tcBorders>
          </w:tcPr>
          <w:p w:rsidR="0036493A" w:rsidRPr="000F674F" w:rsidRDefault="0036493A" w:rsidP="00F11C09">
            <w:pPr>
              <w:ind w:right="-589" w:firstLine="34"/>
              <w:rPr>
                <w:rFonts w:ascii="Verdana" w:hAnsi="Verdana"/>
                <w:b/>
                <w:color w:val="4F6228" w:themeColor="accent3" w:themeShade="80"/>
                <w:highlight w:val="lightGray"/>
              </w:rPr>
            </w:pPr>
          </w:p>
          <w:p w:rsidR="0036493A" w:rsidRPr="000F674F" w:rsidRDefault="0036493A" w:rsidP="00F11C09">
            <w:pPr>
              <w:ind w:right="-589" w:firstLine="34"/>
              <w:rPr>
                <w:rFonts w:ascii="Verdana" w:hAnsi="Verdana"/>
                <w:b/>
                <w:color w:val="4F6228" w:themeColor="accent3" w:themeShade="80"/>
                <w:highlight w:val="lightGray"/>
              </w:rPr>
            </w:pPr>
          </w:p>
          <w:p w:rsidR="0036493A" w:rsidRPr="000F674F" w:rsidRDefault="009E4721" w:rsidP="00F11C09">
            <w:pPr>
              <w:ind w:right="-589" w:firstLine="34"/>
              <w:rPr>
                <w:rFonts w:ascii="Verdana" w:hAnsi="Verdana"/>
                <w:b/>
                <w:color w:val="4F6228" w:themeColor="accent3" w:themeShade="80"/>
              </w:rPr>
            </w:pPr>
            <w:r w:rsidRPr="000F674F">
              <w:rPr>
                <w:rFonts w:ascii="Verdana" w:hAnsi="Verdana"/>
                <w:b/>
                <w:color w:val="4F6228" w:themeColor="accent3" w:themeShade="80"/>
              </w:rPr>
              <w:t>Epping Secondary College</w:t>
            </w:r>
            <w:r w:rsidR="0036493A" w:rsidRPr="000F674F">
              <w:rPr>
                <w:rFonts w:ascii="Verdana" w:hAnsi="Verdana"/>
                <w:b/>
                <w:color w:val="4F6228" w:themeColor="accent3" w:themeShade="80"/>
              </w:rPr>
              <w:t xml:space="preserve"> Strategic Plan 20</w:t>
            </w:r>
            <w:r w:rsidRPr="000F674F">
              <w:rPr>
                <w:rFonts w:ascii="Verdana" w:hAnsi="Verdana"/>
                <w:b/>
                <w:color w:val="4F6228" w:themeColor="accent3" w:themeShade="80"/>
              </w:rPr>
              <w:t>17</w:t>
            </w:r>
            <w:r w:rsidR="0036493A" w:rsidRPr="000F674F">
              <w:rPr>
                <w:rFonts w:ascii="Verdana" w:hAnsi="Verdana"/>
                <w:b/>
                <w:color w:val="4F6228" w:themeColor="accent3" w:themeShade="80"/>
              </w:rPr>
              <w:t>-20</w:t>
            </w:r>
            <w:r w:rsidRPr="000F674F">
              <w:rPr>
                <w:rFonts w:ascii="Verdana" w:hAnsi="Verdana"/>
                <w:b/>
                <w:color w:val="4F6228" w:themeColor="accent3" w:themeShade="80"/>
              </w:rPr>
              <w:t>20</w:t>
            </w:r>
          </w:p>
          <w:p w:rsidR="0036493A" w:rsidRPr="000F674F" w:rsidRDefault="0036493A" w:rsidP="00F11C09">
            <w:pPr>
              <w:ind w:right="-589"/>
              <w:rPr>
                <w:rFonts w:ascii="Verdana" w:hAnsi="Verdana"/>
                <w:b/>
                <w:color w:val="4F6228" w:themeColor="accent3" w:themeShade="80"/>
                <w:highlight w:val="lightGray"/>
              </w:rPr>
            </w:pPr>
          </w:p>
        </w:tc>
        <w:tc>
          <w:tcPr>
            <w:tcW w:w="6096" w:type="dxa"/>
            <w:tcBorders>
              <w:left w:val="single" w:sz="4" w:space="0" w:color="auto"/>
              <w:right w:val="nil"/>
            </w:tcBorders>
          </w:tcPr>
          <w:p w:rsidR="0036493A" w:rsidRPr="000F674F" w:rsidRDefault="0036493A" w:rsidP="00F11C09">
            <w:pPr>
              <w:ind w:right="-52"/>
              <w:rPr>
                <w:rFonts w:ascii="Verdana" w:hAnsi="Verdana"/>
                <w:b/>
              </w:rPr>
            </w:pPr>
            <w:r w:rsidRPr="000F674F">
              <w:rPr>
                <w:rFonts w:ascii="Verdana" w:hAnsi="Verdana"/>
                <w:b/>
              </w:rPr>
              <w:t>Endorsement</w:t>
            </w:r>
          </w:p>
          <w:p w:rsidR="0036493A" w:rsidRPr="000F674F" w:rsidRDefault="0036493A" w:rsidP="00F11C09">
            <w:pPr>
              <w:tabs>
                <w:tab w:val="left" w:pos="993"/>
                <w:tab w:val="left" w:leader="dot" w:pos="3686"/>
                <w:tab w:val="left" w:pos="3828"/>
                <w:tab w:val="left" w:pos="5245"/>
                <w:tab w:val="left" w:pos="5954"/>
                <w:tab w:val="left" w:leader="dot" w:pos="9356"/>
                <w:tab w:val="left" w:pos="9639"/>
                <w:tab w:val="left" w:pos="11199"/>
              </w:tabs>
              <w:spacing w:line="360" w:lineRule="auto"/>
              <w:ind w:right="-51"/>
              <w:rPr>
                <w:rFonts w:ascii="Verdana" w:hAnsi="Verdana"/>
              </w:rPr>
            </w:pPr>
            <w:r w:rsidRPr="000F674F">
              <w:rPr>
                <w:rFonts w:ascii="Verdana" w:hAnsi="Verdana"/>
              </w:rPr>
              <w:t>Principal:</w:t>
            </w:r>
            <w:r w:rsidRPr="000F674F">
              <w:rPr>
                <w:rFonts w:ascii="Verdana" w:hAnsi="Verdana"/>
              </w:rPr>
              <w:tab/>
            </w:r>
            <w:r w:rsidR="009E4721" w:rsidRPr="000F674F">
              <w:rPr>
                <w:rFonts w:ascii="Verdana" w:hAnsi="Verdana"/>
              </w:rPr>
              <w:t xml:space="preserve">               Helene Alamidis</w:t>
            </w:r>
            <w:r w:rsidRPr="000F674F">
              <w:rPr>
                <w:rFonts w:ascii="Verdana" w:hAnsi="Verdana"/>
              </w:rPr>
              <w:tab/>
            </w:r>
            <w:r w:rsidRPr="000F674F">
              <w:rPr>
                <w:rFonts w:ascii="Verdana" w:hAnsi="Verdana"/>
              </w:rPr>
              <w:tab/>
            </w:r>
            <w:r w:rsidRPr="000F674F">
              <w:rPr>
                <w:rFonts w:ascii="Verdana" w:hAnsi="Verdana"/>
                <w:highlight w:val="lightGray"/>
              </w:rPr>
              <w:t>]</w:t>
            </w:r>
          </w:p>
          <w:p w:rsidR="0036493A" w:rsidRPr="000F674F" w:rsidRDefault="0036493A" w:rsidP="00F11C09">
            <w:pPr>
              <w:tabs>
                <w:tab w:val="left" w:pos="993"/>
                <w:tab w:val="left" w:leader="dot" w:pos="3686"/>
                <w:tab w:val="left" w:pos="3828"/>
                <w:tab w:val="left" w:pos="5245"/>
                <w:tab w:val="left" w:pos="5954"/>
                <w:tab w:val="left" w:leader="dot" w:pos="9356"/>
                <w:tab w:val="left" w:pos="9639"/>
                <w:tab w:val="left" w:pos="11199"/>
              </w:tabs>
              <w:spacing w:line="360" w:lineRule="auto"/>
              <w:ind w:right="-51"/>
              <w:rPr>
                <w:rFonts w:ascii="Verdana" w:hAnsi="Verdana"/>
              </w:rPr>
            </w:pPr>
            <w:r w:rsidRPr="000F674F">
              <w:rPr>
                <w:rFonts w:ascii="Verdana" w:hAnsi="Verdana"/>
              </w:rPr>
              <w:t>School council</w:t>
            </w:r>
            <w:r w:rsidR="009E4721" w:rsidRPr="000F674F">
              <w:rPr>
                <w:rFonts w:ascii="Verdana" w:hAnsi="Verdana"/>
              </w:rPr>
              <w:t xml:space="preserve">             Pam McLeod</w:t>
            </w:r>
            <w:r w:rsidRPr="000F674F">
              <w:rPr>
                <w:rFonts w:ascii="Verdana" w:hAnsi="Verdana"/>
              </w:rPr>
              <w:t>:</w:t>
            </w:r>
            <w:r w:rsidRPr="000F674F">
              <w:rPr>
                <w:rFonts w:ascii="Verdana" w:hAnsi="Verdana"/>
              </w:rPr>
              <w:tab/>
            </w:r>
            <w:r w:rsidRPr="000F674F">
              <w:rPr>
                <w:rFonts w:ascii="Verdana" w:hAnsi="Verdana"/>
              </w:rPr>
              <w:tab/>
            </w:r>
            <w:r w:rsidRPr="000F674F">
              <w:rPr>
                <w:rFonts w:ascii="Verdana" w:hAnsi="Verdana"/>
                <w:highlight w:val="lightGray"/>
              </w:rPr>
              <w:t>[name]</w:t>
            </w:r>
            <w:r w:rsidRPr="000F674F">
              <w:rPr>
                <w:rFonts w:ascii="Verdana" w:hAnsi="Verdana"/>
              </w:rPr>
              <w:tab/>
            </w:r>
            <w:r w:rsidRPr="000F674F">
              <w:rPr>
                <w:rFonts w:ascii="Verdana" w:hAnsi="Verdana"/>
                <w:highlight w:val="lightGray"/>
              </w:rPr>
              <w:t>[date]</w:t>
            </w:r>
          </w:p>
          <w:p w:rsidR="0036493A" w:rsidRPr="000F674F" w:rsidRDefault="0036493A" w:rsidP="00F11C09">
            <w:pPr>
              <w:tabs>
                <w:tab w:val="left" w:pos="5954"/>
                <w:tab w:val="left" w:pos="7371"/>
                <w:tab w:val="left" w:leader="dot" w:pos="9639"/>
                <w:tab w:val="left" w:pos="11199"/>
              </w:tabs>
              <w:ind w:right="-51"/>
              <w:rPr>
                <w:rFonts w:ascii="Verdana" w:hAnsi="Verdana"/>
              </w:rPr>
            </w:pPr>
            <w:r w:rsidRPr="000F674F">
              <w:rPr>
                <w:rFonts w:ascii="Verdana" w:hAnsi="Verdana"/>
              </w:rPr>
              <w:t xml:space="preserve">Delegate of the </w:t>
            </w:r>
          </w:p>
          <w:p w:rsidR="0036493A" w:rsidRPr="000F674F" w:rsidRDefault="0036493A" w:rsidP="00F11C09">
            <w:pPr>
              <w:tabs>
                <w:tab w:val="left" w:pos="993"/>
                <w:tab w:val="left" w:leader="dot" w:pos="3686"/>
                <w:tab w:val="left" w:pos="3828"/>
                <w:tab w:val="left" w:pos="5245"/>
                <w:tab w:val="left" w:pos="5954"/>
              </w:tabs>
              <w:spacing w:line="360" w:lineRule="auto"/>
              <w:ind w:right="-51"/>
              <w:rPr>
                <w:rFonts w:ascii="Verdana" w:hAnsi="Verdana"/>
                <w:b/>
                <w:color w:val="4F6228" w:themeColor="accent3" w:themeShade="80"/>
                <w:highlight w:val="lightGray"/>
              </w:rPr>
            </w:pPr>
            <w:r w:rsidRPr="000F674F">
              <w:rPr>
                <w:rFonts w:ascii="Verdana" w:hAnsi="Verdana"/>
              </w:rPr>
              <w:t>Secretary:</w:t>
            </w:r>
            <w:r w:rsidRPr="000F674F">
              <w:rPr>
                <w:rFonts w:ascii="Verdana" w:hAnsi="Verdana"/>
              </w:rPr>
              <w:tab/>
            </w:r>
            <w:r w:rsidRPr="000F674F">
              <w:rPr>
                <w:rFonts w:ascii="Verdana" w:hAnsi="Verdana"/>
              </w:rPr>
              <w:tab/>
            </w:r>
            <w:r w:rsidRPr="000F674F">
              <w:rPr>
                <w:rFonts w:ascii="Verdana" w:hAnsi="Verdana"/>
              </w:rPr>
              <w:tab/>
            </w:r>
            <w:r w:rsidRPr="000F674F">
              <w:rPr>
                <w:rFonts w:ascii="Verdana" w:hAnsi="Verdana"/>
                <w:highlight w:val="lightGray"/>
              </w:rPr>
              <w:t>[name]</w:t>
            </w:r>
            <w:r w:rsidRPr="000F674F">
              <w:rPr>
                <w:rFonts w:ascii="Verdana" w:hAnsi="Verdana"/>
              </w:rPr>
              <w:tab/>
            </w:r>
            <w:r w:rsidRPr="000F674F">
              <w:rPr>
                <w:rFonts w:ascii="Verdana" w:hAnsi="Verdana"/>
                <w:highlight w:val="lightGray"/>
              </w:rPr>
              <w:t>[date]</w:t>
            </w:r>
            <w:r w:rsidRPr="000F674F">
              <w:rPr>
                <w:rFonts w:ascii="Verdana" w:hAnsi="Verdana"/>
              </w:rPr>
              <w:t xml:space="preserve">   </w:t>
            </w:r>
          </w:p>
        </w:tc>
        <w:tc>
          <w:tcPr>
            <w:tcW w:w="4536" w:type="dxa"/>
            <w:tcBorders>
              <w:left w:val="nil"/>
              <w:right w:val="nil"/>
            </w:tcBorders>
          </w:tcPr>
          <w:p w:rsidR="0036493A" w:rsidRPr="000F674F" w:rsidRDefault="0036493A" w:rsidP="00F11C09">
            <w:pPr>
              <w:ind w:right="-52"/>
              <w:rPr>
                <w:rFonts w:ascii="Verdana" w:hAnsi="Verdana"/>
              </w:rPr>
            </w:pPr>
            <w:r w:rsidRPr="000F674F">
              <w:rPr>
                <w:rFonts w:ascii="Verdana" w:hAnsi="Verdana"/>
                <w:b/>
              </w:rPr>
              <w:t xml:space="preserve">Re-Endorsement </w:t>
            </w:r>
            <w:r w:rsidRPr="000F674F">
              <w:rPr>
                <w:rFonts w:ascii="Verdana" w:hAnsi="Verdana"/>
              </w:rPr>
              <w:t>(if a Goal, KIS or Target is changed)</w:t>
            </w:r>
          </w:p>
          <w:p w:rsidR="0036493A" w:rsidRPr="000F674F" w:rsidRDefault="0036493A" w:rsidP="00F11C09">
            <w:pPr>
              <w:tabs>
                <w:tab w:val="left" w:pos="993"/>
                <w:tab w:val="left" w:leader="dot" w:pos="3686"/>
                <w:tab w:val="left" w:pos="3828"/>
                <w:tab w:val="left" w:pos="4995"/>
                <w:tab w:val="left" w:pos="5954"/>
                <w:tab w:val="left" w:leader="dot" w:pos="9356"/>
                <w:tab w:val="left" w:pos="9639"/>
                <w:tab w:val="left" w:pos="11199"/>
              </w:tabs>
              <w:spacing w:line="360" w:lineRule="auto"/>
              <w:ind w:right="-51"/>
              <w:rPr>
                <w:rFonts w:ascii="Verdana" w:hAnsi="Verdana"/>
              </w:rPr>
            </w:pPr>
            <w:r w:rsidRPr="000F674F">
              <w:rPr>
                <w:rFonts w:ascii="Verdana" w:hAnsi="Verdana"/>
                <w:b/>
              </w:rPr>
              <w:t>………………………………………</w:t>
            </w:r>
            <w:r w:rsidRPr="000F674F">
              <w:rPr>
                <w:rFonts w:ascii="Verdana" w:hAnsi="Verdana"/>
                <w:highlight w:val="lightGray"/>
              </w:rPr>
              <w:t>[name]</w:t>
            </w:r>
            <w:r w:rsidRPr="000F674F">
              <w:rPr>
                <w:rFonts w:ascii="Verdana" w:hAnsi="Verdana"/>
              </w:rPr>
              <w:tab/>
            </w:r>
            <w:r w:rsidRPr="000F674F">
              <w:rPr>
                <w:rFonts w:ascii="Verdana" w:hAnsi="Verdana"/>
                <w:highlight w:val="lightGray"/>
              </w:rPr>
              <w:t>[date]</w:t>
            </w:r>
          </w:p>
          <w:p w:rsidR="0036493A" w:rsidRPr="000F674F" w:rsidRDefault="0036493A" w:rsidP="00F11C09">
            <w:pPr>
              <w:tabs>
                <w:tab w:val="left" w:pos="993"/>
                <w:tab w:val="left" w:leader="dot" w:pos="3686"/>
                <w:tab w:val="left" w:pos="3828"/>
                <w:tab w:val="left" w:pos="4995"/>
                <w:tab w:val="left" w:pos="5954"/>
                <w:tab w:val="left" w:leader="dot" w:pos="9356"/>
                <w:tab w:val="left" w:pos="9639"/>
                <w:tab w:val="left" w:pos="11199"/>
              </w:tabs>
              <w:spacing w:line="360" w:lineRule="auto"/>
              <w:ind w:right="-51"/>
              <w:rPr>
                <w:rFonts w:ascii="Verdana" w:hAnsi="Verdana"/>
              </w:rPr>
            </w:pPr>
            <w:r w:rsidRPr="000F674F">
              <w:rPr>
                <w:rFonts w:ascii="Verdana" w:hAnsi="Verdana"/>
                <w:b/>
              </w:rPr>
              <w:t>………………………………………</w:t>
            </w:r>
            <w:r w:rsidRPr="000F674F">
              <w:rPr>
                <w:rFonts w:ascii="Verdana" w:hAnsi="Verdana"/>
                <w:highlight w:val="lightGray"/>
              </w:rPr>
              <w:t>[name]</w:t>
            </w:r>
            <w:r w:rsidRPr="000F674F">
              <w:rPr>
                <w:rFonts w:ascii="Verdana" w:hAnsi="Verdana"/>
              </w:rPr>
              <w:tab/>
            </w:r>
            <w:r w:rsidRPr="000F674F">
              <w:rPr>
                <w:rFonts w:ascii="Verdana" w:hAnsi="Verdana"/>
                <w:highlight w:val="lightGray"/>
              </w:rPr>
              <w:t>[date]</w:t>
            </w:r>
          </w:p>
          <w:p w:rsidR="0036493A" w:rsidRPr="000F674F" w:rsidRDefault="0036493A" w:rsidP="00F11C09">
            <w:pPr>
              <w:tabs>
                <w:tab w:val="left" w:pos="5954"/>
                <w:tab w:val="left" w:pos="7371"/>
                <w:tab w:val="left" w:leader="dot" w:pos="9639"/>
                <w:tab w:val="left" w:pos="11199"/>
              </w:tabs>
              <w:ind w:right="-51"/>
              <w:rPr>
                <w:rFonts w:ascii="Verdana" w:hAnsi="Verdana"/>
              </w:rPr>
            </w:pPr>
          </w:p>
          <w:p w:rsidR="0036493A" w:rsidRPr="000F674F" w:rsidRDefault="0036493A" w:rsidP="00F11C09">
            <w:pPr>
              <w:tabs>
                <w:tab w:val="left" w:pos="993"/>
                <w:tab w:val="left" w:leader="dot" w:pos="3686"/>
                <w:tab w:val="left" w:pos="3828"/>
                <w:tab w:val="left" w:pos="5954"/>
                <w:tab w:val="left" w:leader="dot" w:pos="9356"/>
                <w:tab w:val="left" w:pos="9639"/>
                <w:tab w:val="left" w:pos="11199"/>
              </w:tabs>
              <w:spacing w:line="360" w:lineRule="auto"/>
              <w:ind w:right="-51"/>
              <w:rPr>
                <w:rFonts w:ascii="Verdana" w:hAnsi="Verdana"/>
              </w:rPr>
            </w:pPr>
            <w:r w:rsidRPr="000F674F">
              <w:rPr>
                <w:rFonts w:ascii="Verdana" w:hAnsi="Verdana"/>
                <w:b/>
              </w:rPr>
              <w:t>………………………………………</w:t>
            </w:r>
            <w:r w:rsidRPr="000F674F">
              <w:rPr>
                <w:rFonts w:ascii="Verdana" w:hAnsi="Verdana"/>
                <w:highlight w:val="lightGray"/>
              </w:rPr>
              <w:t>[name]</w:t>
            </w:r>
            <w:r w:rsidRPr="000F674F">
              <w:rPr>
                <w:rFonts w:ascii="Verdana" w:hAnsi="Verdana"/>
              </w:rPr>
              <w:tab/>
            </w:r>
            <w:r w:rsidRPr="000F674F">
              <w:rPr>
                <w:rFonts w:ascii="Verdana" w:hAnsi="Verdana"/>
                <w:highlight w:val="lightGray"/>
              </w:rPr>
              <w:t>[date]</w:t>
            </w:r>
          </w:p>
        </w:tc>
        <w:tc>
          <w:tcPr>
            <w:tcW w:w="4819" w:type="dxa"/>
            <w:tcBorders>
              <w:left w:val="nil"/>
            </w:tcBorders>
          </w:tcPr>
          <w:p w:rsidR="0036493A" w:rsidRPr="000F674F" w:rsidRDefault="0036493A" w:rsidP="00F11C09">
            <w:pPr>
              <w:ind w:right="-52"/>
              <w:rPr>
                <w:rFonts w:ascii="Verdana" w:hAnsi="Verdana"/>
                <w:b/>
              </w:rPr>
            </w:pPr>
            <w:r w:rsidRPr="000F674F">
              <w:rPr>
                <w:rFonts w:ascii="Verdana" w:hAnsi="Verdana"/>
                <w:b/>
              </w:rPr>
              <w:t xml:space="preserve">Re-endorsement </w:t>
            </w:r>
            <w:r w:rsidRPr="000F674F">
              <w:rPr>
                <w:rFonts w:ascii="Verdana" w:hAnsi="Verdana"/>
              </w:rPr>
              <w:t>(if a Goal, KIS or Target is changed)</w:t>
            </w:r>
          </w:p>
          <w:p w:rsidR="0036493A" w:rsidRPr="000F674F" w:rsidRDefault="0036493A" w:rsidP="00F11C09">
            <w:pPr>
              <w:tabs>
                <w:tab w:val="left" w:pos="993"/>
                <w:tab w:val="left" w:leader="dot" w:pos="3686"/>
                <w:tab w:val="left" w:pos="3828"/>
                <w:tab w:val="left" w:pos="4995"/>
                <w:tab w:val="left" w:pos="5954"/>
                <w:tab w:val="left" w:leader="dot" w:pos="9356"/>
                <w:tab w:val="left" w:pos="9639"/>
                <w:tab w:val="left" w:pos="11199"/>
              </w:tabs>
              <w:spacing w:line="360" w:lineRule="auto"/>
              <w:ind w:right="-51"/>
              <w:rPr>
                <w:rFonts w:ascii="Verdana" w:hAnsi="Verdana"/>
              </w:rPr>
            </w:pPr>
            <w:r w:rsidRPr="000F674F">
              <w:rPr>
                <w:rFonts w:ascii="Verdana" w:hAnsi="Verdana"/>
                <w:b/>
              </w:rPr>
              <w:t>………………………………………</w:t>
            </w:r>
            <w:r w:rsidRPr="000F674F">
              <w:rPr>
                <w:rFonts w:ascii="Verdana" w:hAnsi="Verdana"/>
                <w:highlight w:val="lightGray"/>
              </w:rPr>
              <w:t>[name]</w:t>
            </w:r>
            <w:r w:rsidRPr="000F674F">
              <w:rPr>
                <w:rFonts w:ascii="Verdana" w:hAnsi="Verdana"/>
              </w:rPr>
              <w:tab/>
            </w:r>
            <w:r w:rsidRPr="000F674F">
              <w:rPr>
                <w:rFonts w:ascii="Verdana" w:hAnsi="Verdana"/>
                <w:highlight w:val="lightGray"/>
              </w:rPr>
              <w:t>[date]</w:t>
            </w:r>
          </w:p>
          <w:p w:rsidR="0036493A" w:rsidRPr="000F674F" w:rsidRDefault="0036493A" w:rsidP="00F11C09">
            <w:pPr>
              <w:tabs>
                <w:tab w:val="left" w:pos="993"/>
                <w:tab w:val="left" w:leader="dot" w:pos="3686"/>
                <w:tab w:val="left" w:pos="3828"/>
                <w:tab w:val="left" w:pos="4995"/>
                <w:tab w:val="left" w:pos="5954"/>
                <w:tab w:val="left" w:leader="dot" w:pos="9356"/>
                <w:tab w:val="left" w:pos="9639"/>
                <w:tab w:val="left" w:pos="11199"/>
              </w:tabs>
              <w:spacing w:line="360" w:lineRule="auto"/>
              <w:ind w:right="-51"/>
              <w:rPr>
                <w:rFonts w:ascii="Verdana" w:hAnsi="Verdana"/>
              </w:rPr>
            </w:pPr>
            <w:r w:rsidRPr="000F674F">
              <w:rPr>
                <w:rFonts w:ascii="Verdana" w:hAnsi="Verdana"/>
                <w:b/>
              </w:rPr>
              <w:t>………………………………………</w:t>
            </w:r>
            <w:r w:rsidRPr="000F674F">
              <w:rPr>
                <w:rFonts w:ascii="Verdana" w:hAnsi="Verdana"/>
                <w:highlight w:val="lightGray"/>
              </w:rPr>
              <w:t>[name]</w:t>
            </w:r>
            <w:r w:rsidRPr="000F674F">
              <w:rPr>
                <w:rFonts w:ascii="Verdana" w:hAnsi="Verdana"/>
              </w:rPr>
              <w:tab/>
            </w:r>
            <w:r w:rsidRPr="000F674F">
              <w:rPr>
                <w:rFonts w:ascii="Verdana" w:hAnsi="Verdana"/>
                <w:highlight w:val="lightGray"/>
              </w:rPr>
              <w:t>[date]</w:t>
            </w:r>
          </w:p>
          <w:p w:rsidR="0036493A" w:rsidRPr="000F674F" w:rsidRDefault="0036493A" w:rsidP="00F11C09">
            <w:pPr>
              <w:tabs>
                <w:tab w:val="left" w:pos="5954"/>
                <w:tab w:val="left" w:pos="7371"/>
                <w:tab w:val="left" w:leader="dot" w:pos="9639"/>
                <w:tab w:val="left" w:pos="11199"/>
              </w:tabs>
              <w:ind w:right="-51"/>
              <w:rPr>
                <w:rFonts w:ascii="Verdana" w:hAnsi="Verdana"/>
              </w:rPr>
            </w:pPr>
          </w:p>
          <w:p w:rsidR="0036493A" w:rsidRPr="000F674F" w:rsidRDefault="0036493A" w:rsidP="00F11C09">
            <w:pPr>
              <w:tabs>
                <w:tab w:val="left" w:pos="993"/>
                <w:tab w:val="left" w:leader="dot" w:pos="3686"/>
                <w:tab w:val="left" w:pos="3828"/>
                <w:tab w:val="left" w:pos="5245"/>
                <w:tab w:val="left" w:pos="5954"/>
                <w:tab w:val="left" w:leader="dot" w:pos="9356"/>
                <w:tab w:val="left" w:pos="9639"/>
                <w:tab w:val="left" w:pos="11199"/>
              </w:tabs>
              <w:ind w:right="-51"/>
              <w:rPr>
                <w:rFonts w:ascii="Verdana" w:hAnsi="Verdana"/>
                <w:b/>
                <w:color w:val="4F6228" w:themeColor="accent3" w:themeShade="80"/>
                <w:highlight w:val="lightGray"/>
              </w:rPr>
            </w:pPr>
            <w:r w:rsidRPr="000F674F">
              <w:rPr>
                <w:rFonts w:ascii="Verdana" w:hAnsi="Verdana"/>
                <w:b/>
              </w:rPr>
              <w:t>………………………………………</w:t>
            </w:r>
            <w:r w:rsidRPr="000F674F">
              <w:rPr>
                <w:rFonts w:ascii="Verdana" w:hAnsi="Verdana"/>
                <w:highlight w:val="lightGray"/>
              </w:rPr>
              <w:t>[name]</w:t>
            </w:r>
            <w:r w:rsidRPr="000F674F">
              <w:rPr>
                <w:rFonts w:ascii="Verdana" w:hAnsi="Verdana"/>
              </w:rPr>
              <w:tab/>
            </w:r>
            <w:r w:rsidRPr="000F674F">
              <w:rPr>
                <w:rFonts w:ascii="Verdana" w:hAnsi="Verdana"/>
                <w:highlight w:val="lightGray"/>
              </w:rPr>
              <w:t>[date]</w:t>
            </w:r>
          </w:p>
        </w:tc>
      </w:tr>
    </w:tbl>
    <w:p w:rsidR="00A63CE2" w:rsidRPr="000F674F" w:rsidRDefault="00A63CE2" w:rsidP="0036493A">
      <w:pPr>
        <w:spacing w:after="120"/>
        <w:rPr>
          <w:rFonts w:ascii="Verdana" w:hAnsi="Verdana"/>
        </w:rPr>
      </w:pPr>
    </w:p>
    <w:tbl>
      <w:tblPr>
        <w:tblStyle w:val="TableGrid"/>
        <w:tblW w:w="22539" w:type="dxa"/>
        <w:tblInd w:w="-743" w:type="dxa"/>
        <w:tblLook w:val="04A0" w:firstRow="1" w:lastRow="0" w:firstColumn="1" w:lastColumn="0" w:noHBand="0" w:noVBand="1"/>
      </w:tblPr>
      <w:tblGrid>
        <w:gridCol w:w="3970"/>
        <w:gridCol w:w="4394"/>
        <w:gridCol w:w="6946"/>
        <w:gridCol w:w="7229"/>
      </w:tblGrid>
      <w:tr w:rsidR="0036493A" w:rsidRPr="000F674F" w:rsidTr="00667729">
        <w:trPr>
          <w:trHeight w:val="1595"/>
        </w:trPr>
        <w:tc>
          <w:tcPr>
            <w:tcW w:w="3970" w:type="dxa"/>
            <w:shd w:val="clear" w:color="auto" w:fill="C2D69B" w:themeFill="accent3" w:themeFillTint="99"/>
          </w:tcPr>
          <w:p w:rsidR="0036493A" w:rsidRPr="000F674F" w:rsidRDefault="0036493A" w:rsidP="00F11C09">
            <w:pPr>
              <w:spacing w:before="120"/>
              <w:rPr>
                <w:rFonts w:ascii="Verdana" w:hAnsi="Verdana"/>
                <w:b/>
              </w:rPr>
            </w:pPr>
            <w:r w:rsidRPr="000F674F">
              <w:rPr>
                <w:rFonts w:ascii="Verdana" w:hAnsi="Verdana"/>
                <w:b/>
              </w:rPr>
              <w:t>School vision</w:t>
            </w:r>
          </w:p>
        </w:tc>
        <w:tc>
          <w:tcPr>
            <w:tcW w:w="4394" w:type="dxa"/>
            <w:shd w:val="clear" w:color="auto" w:fill="C2D69B" w:themeFill="accent3" w:themeFillTint="99"/>
          </w:tcPr>
          <w:p w:rsidR="0036493A" w:rsidRPr="000F674F" w:rsidRDefault="0036493A" w:rsidP="00F11C09">
            <w:pPr>
              <w:spacing w:before="120"/>
              <w:rPr>
                <w:rFonts w:ascii="Verdana" w:hAnsi="Verdana"/>
                <w:b/>
              </w:rPr>
            </w:pPr>
            <w:r w:rsidRPr="000F674F">
              <w:rPr>
                <w:rFonts w:ascii="Verdana" w:hAnsi="Verdana"/>
                <w:b/>
              </w:rPr>
              <w:t>School values</w:t>
            </w:r>
          </w:p>
        </w:tc>
        <w:tc>
          <w:tcPr>
            <w:tcW w:w="6946" w:type="dxa"/>
            <w:shd w:val="clear" w:color="auto" w:fill="C2D69B" w:themeFill="accent3" w:themeFillTint="99"/>
          </w:tcPr>
          <w:p w:rsidR="00A63CE2" w:rsidRPr="000F674F" w:rsidRDefault="0036493A" w:rsidP="00F11C09">
            <w:pPr>
              <w:spacing w:before="120"/>
              <w:rPr>
                <w:rFonts w:ascii="Verdana" w:hAnsi="Verdana"/>
                <w:b/>
              </w:rPr>
            </w:pPr>
            <w:r w:rsidRPr="000F674F">
              <w:rPr>
                <w:rFonts w:ascii="Verdana" w:hAnsi="Verdana"/>
                <w:b/>
              </w:rPr>
              <w:t>Context and challenges</w:t>
            </w:r>
          </w:p>
          <w:p w:rsidR="0036493A" w:rsidRPr="000F674F" w:rsidRDefault="0036493A" w:rsidP="00A63CE2">
            <w:pPr>
              <w:tabs>
                <w:tab w:val="left" w:pos="1562"/>
              </w:tabs>
              <w:rPr>
                <w:rFonts w:ascii="Verdana" w:hAnsi="Verdana"/>
              </w:rPr>
            </w:pPr>
          </w:p>
        </w:tc>
        <w:tc>
          <w:tcPr>
            <w:tcW w:w="7229" w:type="dxa"/>
            <w:shd w:val="clear" w:color="auto" w:fill="C2D69B" w:themeFill="accent3" w:themeFillTint="99"/>
          </w:tcPr>
          <w:p w:rsidR="0036493A" w:rsidRPr="000F674F" w:rsidRDefault="0036493A" w:rsidP="00A63CE2">
            <w:pPr>
              <w:spacing w:before="120"/>
              <w:ind w:right="-108"/>
              <w:rPr>
                <w:rFonts w:ascii="Verdana" w:hAnsi="Verdana"/>
                <w:b/>
              </w:rPr>
            </w:pPr>
            <w:r w:rsidRPr="000F674F">
              <w:rPr>
                <w:rFonts w:ascii="Verdana" w:hAnsi="Verdana"/>
                <w:b/>
              </w:rPr>
              <w:t>Intent, rationale and focus</w:t>
            </w:r>
          </w:p>
        </w:tc>
      </w:tr>
      <w:tr w:rsidR="0036493A" w:rsidRPr="000F674F" w:rsidTr="004A5B3C">
        <w:trPr>
          <w:trHeight w:val="269"/>
        </w:trPr>
        <w:tc>
          <w:tcPr>
            <w:tcW w:w="3970" w:type="dxa"/>
            <w:vMerge w:val="restart"/>
          </w:tcPr>
          <w:p w:rsidR="0036493A" w:rsidRPr="000F674F" w:rsidRDefault="0036493A" w:rsidP="00667729">
            <w:pPr>
              <w:rPr>
                <w:rFonts w:ascii="Verdana" w:hAnsi="Verdana"/>
              </w:rPr>
            </w:pPr>
            <w:r w:rsidRPr="000F674F">
              <w:rPr>
                <w:rFonts w:ascii="Verdana" w:hAnsi="Verdana"/>
                <w:i/>
                <w:highlight w:val="lightGray"/>
              </w:rPr>
              <w:t>[</w:t>
            </w:r>
            <w:r w:rsidR="004A5B3C" w:rsidRPr="000F674F">
              <w:rPr>
                <w:rFonts w:ascii="Verdana" w:hAnsi="Verdana" w:cstheme="minorHAnsi"/>
              </w:rPr>
              <w:t xml:space="preserve"> </w:t>
            </w:r>
          </w:p>
          <w:p w:rsidR="006C5BB7" w:rsidRPr="000F674F" w:rsidRDefault="00336A87" w:rsidP="00D54362">
            <w:pPr>
              <w:rPr>
                <w:rFonts w:ascii="Verdana" w:hAnsi="Verdana"/>
              </w:rPr>
            </w:pPr>
            <w:r w:rsidRPr="000F674F">
              <w:rPr>
                <w:rFonts w:ascii="Verdana" w:hAnsi="Verdana"/>
                <w:iCs/>
              </w:rPr>
              <w:t>At Epping Secondary we are deeply passionate about developing self-directed learners who believe in themselves, and are empathetic global citizens who strive for excellence.</w:t>
            </w:r>
          </w:p>
          <w:p w:rsidR="006C5BB7" w:rsidRPr="000F674F" w:rsidRDefault="00336A87" w:rsidP="00D54362">
            <w:pPr>
              <w:rPr>
                <w:rFonts w:ascii="Verdana" w:hAnsi="Verdana"/>
                <w:iCs/>
              </w:rPr>
            </w:pPr>
            <w:r w:rsidRPr="000F674F">
              <w:rPr>
                <w:rFonts w:ascii="Verdana" w:hAnsi="Verdana"/>
                <w:iCs/>
              </w:rPr>
              <w:t>We want to become known for providing tailored opportunities and a challenging learning environment that supports a culture of aspiration and achievement.</w:t>
            </w:r>
          </w:p>
          <w:p w:rsidR="00D54362" w:rsidRPr="000F674F" w:rsidRDefault="00D54362" w:rsidP="00D54362">
            <w:pPr>
              <w:rPr>
                <w:rFonts w:ascii="Verdana" w:hAnsi="Verdana"/>
              </w:rPr>
            </w:pPr>
          </w:p>
          <w:p w:rsidR="00405DEC" w:rsidRPr="000F674F" w:rsidRDefault="00405DEC" w:rsidP="00405DEC">
            <w:pPr>
              <w:rPr>
                <w:rFonts w:ascii="Verdana" w:hAnsi="Verdana"/>
                <w:i/>
                <w:iCs/>
              </w:rPr>
            </w:pPr>
          </w:p>
          <w:p w:rsidR="00405DEC" w:rsidRPr="000F674F" w:rsidRDefault="00405DEC" w:rsidP="00405DEC">
            <w:pPr>
              <w:rPr>
                <w:rFonts w:ascii="Verdana" w:hAnsi="Verdana"/>
                <w:i/>
              </w:rPr>
            </w:pPr>
            <w:r w:rsidRPr="000F674F">
              <w:rPr>
                <w:rFonts w:ascii="Verdana" w:hAnsi="Verdana"/>
                <w:i/>
              </w:rPr>
              <w:t xml:space="preserve">At </w:t>
            </w:r>
            <w:proofErr w:type="gramStart"/>
            <w:r w:rsidRPr="000F674F">
              <w:rPr>
                <w:rFonts w:ascii="Verdana" w:hAnsi="Verdana"/>
                <w:i/>
              </w:rPr>
              <w:t>ESC</w:t>
            </w:r>
            <w:proofErr w:type="gramEnd"/>
            <w:r w:rsidRPr="000F674F">
              <w:rPr>
                <w:rFonts w:ascii="Verdana" w:hAnsi="Verdana"/>
                <w:i/>
              </w:rPr>
              <w:t xml:space="preserve"> we value developing not only our </w:t>
            </w:r>
            <w:proofErr w:type="spellStart"/>
            <w:r w:rsidRPr="000F674F">
              <w:rPr>
                <w:rFonts w:ascii="Verdana" w:hAnsi="Verdana"/>
                <w:i/>
              </w:rPr>
              <w:t>students</w:t>
            </w:r>
            <w:proofErr w:type="spellEnd"/>
            <w:r w:rsidRPr="000F674F">
              <w:rPr>
                <w:rFonts w:ascii="Verdana" w:hAnsi="Verdana"/>
                <w:i/>
              </w:rPr>
              <w:t xml:space="preserve"> academic growth but also their social and emotional wellbeing. We aspire to create an environment where students feel connected, are supported and are positive in their approach to learning. We aim to equip students with the skills to be intrinsically motivated and self-directed learnings so that they may aspire towards their goals. We strive to cultivate in students at ESC a positive mindset in order for them to be </w:t>
            </w:r>
            <w:r w:rsidRPr="000F674F">
              <w:rPr>
                <w:rFonts w:ascii="Verdana" w:hAnsi="Verdana"/>
                <w:i/>
              </w:rPr>
              <w:lastRenderedPageBreak/>
              <w:t>resilient not only in their learning but also in life.</w:t>
            </w:r>
          </w:p>
          <w:p w:rsidR="0036493A" w:rsidRPr="000F674F" w:rsidRDefault="0036493A" w:rsidP="00405DEC">
            <w:pPr>
              <w:rPr>
                <w:rFonts w:ascii="Verdana" w:hAnsi="Verdana"/>
                <w:highlight w:val="lightGray"/>
              </w:rPr>
            </w:pPr>
          </w:p>
        </w:tc>
        <w:tc>
          <w:tcPr>
            <w:tcW w:w="4394" w:type="dxa"/>
            <w:vMerge w:val="restart"/>
          </w:tcPr>
          <w:p w:rsidR="004A5B3C" w:rsidRPr="000F674F" w:rsidRDefault="004A5B3C" w:rsidP="004A5B3C">
            <w:pPr>
              <w:rPr>
                <w:rFonts w:ascii="Verdana" w:hAnsi="Verdana"/>
              </w:rPr>
            </w:pPr>
            <w:r w:rsidRPr="000F674F">
              <w:rPr>
                <w:rFonts w:ascii="Verdana" w:hAnsi="Verdana"/>
              </w:rPr>
              <w:lastRenderedPageBreak/>
              <w:t>The College values which underpin our behaviours and practice</w:t>
            </w:r>
            <w:r w:rsidR="00D54362" w:rsidRPr="000F674F">
              <w:rPr>
                <w:rFonts w:ascii="Verdana" w:hAnsi="Verdana"/>
              </w:rPr>
              <w:t xml:space="preserve"> are:</w:t>
            </w:r>
          </w:p>
          <w:p w:rsidR="004A5B3C" w:rsidRPr="000F674F" w:rsidRDefault="004A5B3C" w:rsidP="004A5B3C">
            <w:pPr>
              <w:rPr>
                <w:rFonts w:ascii="Verdana" w:hAnsi="Verdana"/>
              </w:rPr>
            </w:pPr>
          </w:p>
          <w:p w:rsidR="004A5B3C" w:rsidRPr="000F674F" w:rsidRDefault="004A5B3C" w:rsidP="004A5B3C">
            <w:pPr>
              <w:pStyle w:val="NoSpacing"/>
              <w:rPr>
                <w:rFonts w:ascii="Verdana" w:hAnsi="Verdana" w:cstheme="minorHAnsi"/>
              </w:rPr>
            </w:pPr>
            <w:r w:rsidRPr="000F674F">
              <w:rPr>
                <w:rFonts w:ascii="Verdana" w:hAnsi="Verdana" w:cstheme="minorHAnsi"/>
              </w:rPr>
              <w:t>Commitment – being responsible for our learning and behaviour and always striving to improve</w:t>
            </w:r>
          </w:p>
          <w:p w:rsidR="004A5B3C" w:rsidRPr="000F674F" w:rsidRDefault="004A5B3C" w:rsidP="004A5B3C">
            <w:pPr>
              <w:pStyle w:val="NoSpacing"/>
              <w:rPr>
                <w:rFonts w:ascii="Verdana" w:hAnsi="Verdana" w:cstheme="minorHAnsi"/>
              </w:rPr>
            </w:pPr>
            <w:r w:rsidRPr="000F674F">
              <w:rPr>
                <w:rFonts w:ascii="Verdana" w:hAnsi="Verdana" w:cstheme="minorHAnsi"/>
              </w:rPr>
              <w:t>Honesty – being sincere, genuine, open and truthful to ourselves and others</w:t>
            </w:r>
          </w:p>
          <w:p w:rsidR="004A5B3C" w:rsidRPr="000F674F" w:rsidRDefault="004A5B3C" w:rsidP="004A5B3C">
            <w:pPr>
              <w:pStyle w:val="NoSpacing"/>
              <w:rPr>
                <w:rFonts w:ascii="Verdana" w:hAnsi="Verdana" w:cstheme="minorHAnsi"/>
              </w:rPr>
            </w:pPr>
            <w:r w:rsidRPr="000F674F">
              <w:rPr>
                <w:rFonts w:ascii="Verdana" w:hAnsi="Verdana" w:cstheme="minorHAnsi"/>
              </w:rPr>
              <w:t>Fairness – developing an understanding that we are all different yet all equal and treating others sensitively and justly</w:t>
            </w:r>
          </w:p>
          <w:p w:rsidR="004A5B3C" w:rsidRPr="000F674F" w:rsidRDefault="004A5B3C" w:rsidP="004A5B3C">
            <w:pPr>
              <w:pStyle w:val="NoSpacing"/>
              <w:rPr>
                <w:rFonts w:ascii="Verdana" w:hAnsi="Verdana" w:cstheme="minorHAnsi"/>
              </w:rPr>
            </w:pPr>
            <w:r w:rsidRPr="000F674F">
              <w:rPr>
                <w:rFonts w:ascii="Verdana" w:hAnsi="Verdana" w:cstheme="minorHAnsi"/>
              </w:rPr>
              <w:t>Respect – developing an understanding that all individuals are unique and can make valuable contributions to the community</w:t>
            </w:r>
          </w:p>
          <w:p w:rsidR="004A5B3C" w:rsidRPr="000F674F" w:rsidRDefault="004A5B3C" w:rsidP="004A5B3C">
            <w:pPr>
              <w:rPr>
                <w:rFonts w:ascii="Verdana" w:hAnsi="Verdana" w:cstheme="minorHAnsi"/>
              </w:rPr>
            </w:pPr>
            <w:r w:rsidRPr="000F674F">
              <w:rPr>
                <w:rFonts w:ascii="Verdana" w:hAnsi="Verdana" w:cstheme="minorHAnsi"/>
              </w:rPr>
              <w:t>Perseverance – building a sense of determination and optimism when faced with challenges in learning and life.</w:t>
            </w:r>
          </w:p>
          <w:p w:rsidR="004A5B3C" w:rsidRPr="000F674F" w:rsidRDefault="004A5B3C" w:rsidP="004A5B3C">
            <w:pPr>
              <w:rPr>
                <w:rFonts w:ascii="Verdana" w:hAnsi="Verdana"/>
              </w:rPr>
            </w:pPr>
          </w:p>
          <w:p w:rsidR="0036493A" w:rsidRPr="000F674F" w:rsidRDefault="0036493A" w:rsidP="00F11C09">
            <w:pPr>
              <w:rPr>
                <w:rFonts w:ascii="Verdana" w:hAnsi="Verdana"/>
              </w:rPr>
            </w:pPr>
          </w:p>
          <w:p w:rsidR="0036493A" w:rsidRPr="000F674F" w:rsidRDefault="0036493A" w:rsidP="00F11C09">
            <w:pPr>
              <w:rPr>
                <w:rFonts w:ascii="Verdana" w:hAnsi="Verdana"/>
              </w:rPr>
            </w:pPr>
          </w:p>
          <w:p w:rsidR="0036493A" w:rsidRPr="000F674F" w:rsidRDefault="0036493A" w:rsidP="00F11C09">
            <w:pPr>
              <w:rPr>
                <w:rFonts w:ascii="Verdana" w:hAnsi="Verdana"/>
                <w:i/>
              </w:rPr>
            </w:pPr>
          </w:p>
        </w:tc>
        <w:tc>
          <w:tcPr>
            <w:tcW w:w="6946" w:type="dxa"/>
            <w:vMerge w:val="restart"/>
          </w:tcPr>
          <w:p w:rsidR="008167EE" w:rsidRDefault="00D54362" w:rsidP="00A25217">
            <w:pPr>
              <w:pStyle w:val="Table-Entry"/>
              <w:rPr>
                <w:rFonts w:ascii="Verdana" w:hAnsi="Verdana"/>
                <w:color w:val="auto"/>
                <w:sz w:val="22"/>
                <w:szCs w:val="22"/>
              </w:rPr>
            </w:pPr>
            <w:r w:rsidRPr="000F674F">
              <w:rPr>
                <w:rFonts w:ascii="Verdana" w:hAnsi="Verdana"/>
                <w:color w:val="auto"/>
                <w:sz w:val="22"/>
                <w:szCs w:val="22"/>
              </w:rPr>
              <w:t xml:space="preserve">Epping Secondary College is a co-educational </w:t>
            </w:r>
            <w:r w:rsidR="00A63CE2" w:rsidRPr="000F674F">
              <w:rPr>
                <w:rFonts w:ascii="Verdana" w:hAnsi="Verdana"/>
                <w:color w:val="auto"/>
                <w:sz w:val="22"/>
                <w:szCs w:val="22"/>
              </w:rPr>
              <w:t xml:space="preserve">7-12 </w:t>
            </w:r>
            <w:r w:rsidRPr="000F674F">
              <w:rPr>
                <w:rFonts w:ascii="Verdana" w:hAnsi="Verdana"/>
                <w:color w:val="auto"/>
                <w:sz w:val="22"/>
                <w:szCs w:val="22"/>
              </w:rPr>
              <w:t>college established in 1976. The suburb of Epping has seen substantial growth in housing which has had a significant impact on the growth of student numbers. The student population has increased from 7</w:t>
            </w:r>
            <w:r w:rsidR="00A63CE2" w:rsidRPr="000F674F">
              <w:rPr>
                <w:rFonts w:ascii="Verdana" w:hAnsi="Verdana"/>
                <w:color w:val="auto"/>
                <w:sz w:val="22"/>
                <w:szCs w:val="22"/>
              </w:rPr>
              <w:t>74</w:t>
            </w:r>
            <w:r w:rsidRPr="000F674F">
              <w:rPr>
                <w:rFonts w:ascii="Verdana" w:hAnsi="Verdana"/>
                <w:color w:val="auto"/>
                <w:sz w:val="22"/>
                <w:szCs w:val="22"/>
              </w:rPr>
              <w:t xml:space="preserve"> in 201</w:t>
            </w:r>
            <w:r w:rsidR="00A63CE2" w:rsidRPr="000F674F">
              <w:rPr>
                <w:rFonts w:ascii="Verdana" w:hAnsi="Verdana"/>
                <w:color w:val="auto"/>
                <w:sz w:val="22"/>
                <w:szCs w:val="22"/>
              </w:rPr>
              <w:t>2</w:t>
            </w:r>
            <w:r w:rsidRPr="000F674F">
              <w:rPr>
                <w:rFonts w:ascii="Verdana" w:hAnsi="Verdana"/>
                <w:color w:val="auto"/>
                <w:sz w:val="22"/>
                <w:szCs w:val="22"/>
              </w:rPr>
              <w:t xml:space="preserve"> to a predicted 1,300 in 2017. There has also been an increasing number of EAL and refugee students who require specialised support as well as alternate pathways.</w:t>
            </w:r>
          </w:p>
          <w:p w:rsidR="00433C33" w:rsidRDefault="008167EE" w:rsidP="00A25217">
            <w:pPr>
              <w:pStyle w:val="Table-Entry"/>
              <w:rPr>
                <w:rFonts w:ascii="Verdana" w:hAnsi="Verdana"/>
                <w:color w:val="auto"/>
                <w:sz w:val="22"/>
                <w:szCs w:val="22"/>
              </w:rPr>
            </w:pPr>
            <w:r>
              <w:rPr>
                <w:rFonts w:ascii="Verdana" w:hAnsi="Verdana"/>
                <w:color w:val="auto"/>
                <w:sz w:val="22"/>
                <w:szCs w:val="22"/>
              </w:rPr>
              <w:t>There has been a significant rise in families experiencing social, personal and financial difficulties and the impact of this has seen the school experience increasing levels of students with chronic attendance as well as behavior issues.</w:t>
            </w:r>
            <w:r w:rsidR="00D54362" w:rsidRPr="000F674F">
              <w:rPr>
                <w:rFonts w:ascii="Verdana" w:hAnsi="Verdana"/>
                <w:color w:val="auto"/>
                <w:sz w:val="22"/>
                <w:szCs w:val="22"/>
              </w:rPr>
              <w:br/>
            </w:r>
          </w:p>
          <w:p w:rsidR="00C67D1C" w:rsidRDefault="00C67D1C" w:rsidP="00F11C09">
            <w:pPr>
              <w:rPr>
                <w:rFonts w:ascii="Verdana" w:hAnsi="Verdana"/>
              </w:rPr>
            </w:pPr>
          </w:p>
          <w:p w:rsidR="006E1EF6" w:rsidRDefault="006E1EF6" w:rsidP="006E1EF6">
            <w:pPr>
              <w:pStyle w:val="Table-Entry"/>
              <w:spacing w:before="60"/>
              <w:rPr>
                <w:rFonts w:ascii="Verdana" w:hAnsi="Verdana"/>
                <w:color w:val="auto"/>
                <w:sz w:val="20"/>
                <w:szCs w:val="20"/>
              </w:rPr>
            </w:pPr>
            <w:r>
              <w:rPr>
                <w:rFonts w:ascii="Verdana" w:hAnsi="Verdana"/>
                <w:color w:val="auto"/>
                <w:sz w:val="20"/>
                <w:szCs w:val="20"/>
              </w:rPr>
              <w:t>Wellbeing and Engagement</w:t>
            </w:r>
          </w:p>
          <w:p w:rsidR="006E1EF6" w:rsidRPr="002C7AD0" w:rsidRDefault="006E1EF6" w:rsidP="006E1EF6">
            <w:pPr>
              <w:pStyle w:val="Table-Entry"/>
              <w:spacing w:before="60"/>
              <w:rPr>
                <w:rFonts w:ascii="Verdana" w:hAnsi="Verdana"/>
                <w:color w:val="auto"/>
                <w:sz w:val="20"/>
                <w:szCs w:val="20"/>
              </w:rPr>
            </w:pPr>
            <w:r>
              <w:rPr>
                <w:rFonts w:ascii="Verdana" w:hAnsi="Verdana"/>
                <w:color w:val="auto"/>
                <w:sz w:val="20"/>
                <w:szCs w:val="20"/>
              </w:rPr>
              <w:t>Attendance</w:t>
            </w:r>
          </w:p>
          <w:p w:rsidR="00C67D1C" w:rsidRDefault="00C67D1C" w:rsidP="00F11C09">
            <w:pPr>
              <w:rPr>
                <w:rFonts w:ascii="Verdana" w:hAnsi="Verdana"/>
              </w:rPr>
            </w:pPr>
          </w:p>
          <w:p w:rsidR="00C67D1C" w:rsidRDefault="00C67D1C" w:rsidP="00F11C09">
            <w:pPr>
              <w:rPr>
                <w:rFonts w:ascii="Verdana" w:hAnsi="Verdana"/>
              </w:rPr>
            </w:pPr>
          </w:p>
          <w:p w:rsidR="00C67D1C" w:rsidRPr="00C67D1C" w:rsidRDefault="00C67D1C" w:rsidP="00C67D1C">
            <w:pPr>
              <w:pStyle w:val="Normal1"/>
              <w:jc w:val="both"/>
              <w:rPr>
                <w:rFonts w:ascii="Verdana" w:eastAsia="Calibri" w:hAnsi="Verdana" w:cs="Calibri"/>
                <w:sz w:val="22"/>
                <w:szCs w:val="22"/>
              </w:rPr>
            </w:pPr>
            <w:r w:rsidRPr="00C67D1C">
              <w:rPr>
                <w:rFonts w:ascii="Verdana" w:eastAsia="Calibri" w:hAnsi="Verdana" w:cs="Calibri"/>
                <w:sz w:val="22"/>
                <w:szCs w:val="22"/>
              </w:rPr>
              <w:t>The school is focused upon implementation of the Framework for Improving Student Outcomes, pursuing the four priority areas and six initiatives.</w:t>
            </w:r>
          </w:p>
          <w:p w:rsidR="00C67D1C" w:rsidRPr="000F674F" w:rsidRDefault="00C67D1C" w:rsidP="00F11C09">
            <w:pPr>
              <w:rPr>
                <w:rFonts w:ascii="Verdana" w:hAnsi="Verdana"/>
              </w:rPr>
            </w:pPr>
          </w:p>
          <w:p w:rsidR="004A5B3C" w:rsidRPr="000F674F" w:rsidRDefault="004A5B3C" w:rsidP="00F11C09">
            <w:pPr>
              <w:rPr>
                <w:rFonts w:ascii="Verdana" w:hAnsi="Verdana"/>
              </w:rPr>
            </w:pPr>
          </w:p>
          <w:p w:rsidR="004A5B3C" w:rsidRPr="000F674F" w:rsidRDefault="004A5B3C" w:rsidP="00F11C09">
            <w:pPr>
              <w:rPr>
                <w:rFonts w:ascii="Verdana" w:hAnsi="Verdana"/>
              </w:rPr>
            </w:pPr>
          </w:p>
          <w:p w:rsidR="004A5B3C" w:rsidRPr="000F674F" w:rsidRDefault="004A5B3C" w:rsidP="00F11C09">
            <w:pPr>
              <w:rPr>
                <w:rFonts w:ascii="Verdana" w:hAnsi="Verdana"/>
              </w:rPr>
            </w:pPr>
          </w:p>
          <w:p w:rsidR="0036493A" w:rsidRPr="000F674F" w:rsidRDefault="0036493A" w:rsidP="00ED2C85">
            <w:pPr>
              <w:rPr>
                <w:rFonts w:ascii="Verdana" w:hAnsi="Verdana"/>
                <w:i/>
              </w:rPr>
            </w:pPr>
          </w:p>
        </w:tc>
        <w:tc>
          <w:tcPr>
            <w:tcW w:w="7229" w:type="dxa"/>
            <w:vMerge w:val="restart"/>
          </w:tcPr>
          <w:p w:rsidR="00667729" w:rsidRPr="000F674F" w:rsidRDefault="00667729" w:rsidP="00667729">
            <w:pPr>
              <w:rPr>
                <w:rFonts w:ascii="Verdana" w:hAnsi="Verdana" w:cstheme="minorHAnsi"/>
              </w:rPr>
            </w:pPr>
            <w:r w:rsidRPr="000F674F">
              <w:rPr>
                <w:rFonts w:ascii="Verdana" w:hAnsi="Verdana" w:cstheme="minorHAnsi"/>
              </w:rPr>
              <w:t>Epping Secondary College</w:t>
            </w:r>
            <w:r w:rsidR="00A25217" w:rsidRPr="000F674F">
              <w:rPr>
                <w:rFonts w:ascii="Verdana" w:hAnsi="Verdana" w:cstheme="minorHAnsi"/>
              </w:rPr>
              <w:t xml:space="preserve"> will continue to focus on</w:t>
            </w:r>
            <w:r w:rsidRPr="000F674F">
              <w:rPr>
                <w:rFonts w:ascii="Verdana" w:hAnsi="Verdana" w:cstheme="minorHAnsi"/>
              </w:rPr>
              <w:t xml:space="preserve"> all students </w:t>
            </w:r>
            <w:r w:rsidR="00A25217" w:rsidRPr="000F674F">
              <w:rPr>
                <w:rFonts w:ascii="Verdana" w:hAnsi="Verdana" w:cstheme="minorHAnsi"/>
              </w:rPr>
              <w:t>b</w:t>
            </w:r>
            <w:r w:rsidR="00A63CE2" w:rsidRPr="000F674F">
              <w:rPr>
                <w:rFonts w:ascii="Verdana" w:hAnsi="Verdana" w:cstheme="minorHAnsi"/>
              </w:rPr>
              <w:t>e</w:t>
            </w:r>
            <w:r w:rsidR="00A25217" w:rsidRPr="000F674F">
              <w:rPr>
                <w:rFonts w:ascii="Verdana" w:hAnsi="Verdana" w:cstheme="minorHAnsi"/>
              </w:rPr>
              <w:t>ing</w:t>
            </w:r>
            <w:r w:rsidRPr="000F674F">
              <w:rPr>
                <w:rFonts w:ascii="Verdana" w:hAnsi="Verdana" w:cstheme="minorHAnsi"/>
              </w:rPr>
              <w:t xml:space="preserve"> empowered </w:t>
            </w:r>
            <w:r w:rsidR="00A25217" w:rsidRPr="000F674F">
              <w:rPr>
                <w:rFonts w:ascii="Verdana" w:hAnsi="Verdana" w:cstheme="minorHAnsi"/>
              </w:rPr>
              <w:t>to</w:t>
            </w:r>
            <w:r w:rsidRPr="000F674F">
              <w:rPr>
                <w:rFonts w:ascii="Verdana" w:hAnsi="Verdana" w:cstheme="minorHAnsi"/>
              </w:rPr>
              <w:t xml:space="preserve"> achieve success. We </w:t>
            </w:r>
            <w:r w:rsidR="00405DEC" w:rsidRPr="000F674F">
              <w:rPr>
                <w:rFonts w:ascii="Verdana" w:hAnsi="Verdana" w:cstheme="minorHAnsi"/>
              </w:rPr>
              <w:t>aim to</w:t>
            </w:r>
            <w:r w:rsidRPr="000F674F">
              <w:rPr>
                <w:rFonts w:ascii="Verdana" w:hAnsi="Verdana" w:cstheme="minorHAnsi"/>
              </w:rPr>
              <w:t xml:space="preserve"> </w:t>
            </w:r>
            <w:r w:rsidR="00A25217" w:rsidRPr="000F674F">
              <w:rPr>
                <w:rFonts w:ascii="Verdana" w:hAnsi="Verdana" w:cstheme="minorHAnsi"/>
              </w:rPr>
              <w:t>further strengthen the approaches implemented that cater for</w:t>
            </w:r>
            <w:r w:rsidRPr="000F674F">
              <w:rPr>
                <w:rFonts w:ascii="Verdana" w:hAnsi="Verdana" w:cstheme="minorHAnsi"/>
              </w:rPr>
              <w:t xml:space="preserve"> the diverse needs, achievements and strengths of every individual. </w:t>
            </w:r>
            <w:r w:rsidR="00A25217" w:rsidRPr="000F674F">
              <w:rPr>
                <w:rFonts w:ascii="Verdana" w:hAnsi="Verdana" w:cstheme="minorHAnsi"/>
              </w:rPr>
              <w:t>Providing</w:t>
            </w:r>
            <w:r w:rsidRPr="000F674F">
              <w:rPr>
                <w:rFonts w:ascii="Verdana" w:hAnsi="Verdana" w:cstheme="minorHAnsi"/>
              </w:rPr>
              <w:t xml:space="preserve"> success for all students through a diverse and extensive range of course offerings from Year 10 onwards through o</w:t>
            </w:r>
            <w:r w:rsidR="00A63CE2" w:rsidRPr="000F674F">
              <w:rPr>
                <w:rFonts w:ascii="Verdana" w:hAnsi="Verdana" w:cstheme="minorHAnsi"/>
              </w:rPr>
              <w:t>ur VCE, VCAL and VET offerings,</w:t>
            </w:r>
            <w:r w:rsidRPr="000F674F">
              <w:rPr>
                <w:rFonts w:ascii="Verdana" w:hAnsi="Verdana" w:cstheme="minorHAnsi"/>
              </w:rPr>
              <w:t xml:space="preserve"> a highly successful vocationally-oriented Year 10 Pathways program</w:t>
            </w:r>
            <w:r w:rsidR="00A25217" w:rsidRPr="000F674F">
              <w:rPr>
                <w:rFonts w:ascii="Verdana" w:hAnsi="Verdana" w:cstheme="minorHAnsi"/>
              </w:rPr>
              <w:t xml:space="preserve"> </w:t>
            </w:r>
            <w:r w:rsidR="00A63CE2" w:rsidRPr="000F674F">
              <w:rPr>
                <w:rFonts w:ascii="Verdana" w:hAnsi="Verdana" w:cstheme="minorHAnsi"/>
              </w:rPr>
              <w:t xml:space="preserve">as well as structured opportunities for acceleration will </w:t>
            </w:r>
            <w:r w:rsidR="00A25217" w:rsidRPr="000F674F">
              <w:rPr>
                <w:rFonts w:ascii="Verdana" w:hAnsi="Verdana" w:cstheme="minorHAnsi"/>
              </w:rPr>
              <w:t>continue</w:t>
            </w:r>
            <w:r w:rsidRPr="000F674F">
              <w:rPr>
                <w:rFonts w:ascii="Verdana" w:hAnsi="Verdana" w:cstheme="minorHAnsi"/>
              </w:rPr>
              <w:t xml:space="preserve">. Furthermore the introduction of the ACE High Achievers Program, </w:t>
            </w:r>
            <w:proofErr w:type="spellStart"/>
            <w:r w:rsidRPr="000F674F">
              <w:rPr>
                <w:rFonts w:ascii="Verdana" w:hAnsi="Verdana" w:cstheme="minorHAnsi"/>
              </w:rPr>
              <w:t>MathsPathways</w:t>
            </w:r>
            <w:proofErr w:type="spellEnd"/>
            <w:r w:rsidRPr="000F674F">
              <w:rPr>
                <w:rFonts w:ascii="Verdana" w:hAnsi="Verdana" w:cstheme="minorHAnsi"/>
              </w:rPr>
              <w:t xml:space="preserve"> differentiated Math approach and </w:t>
            </w:r>
            <w:r w:rsidR="00A175AA" w:rsidRPr="000F674F">
              <w:rPr>
                <w:rFonts w:ascii="Verdana" w:hAnsi="Verdana" w:cstheme="minorHAnsi"/>
              </w:rPr>
              <w:t xml:space="preserve">whole school </w:t>
            </w:r>
            <w:r w:rsidRPr="000F674F">
              <w:rPr>
                <w:rFonts w:ascii="Verdana" w:hAnsi="Verdana" w:cstheme="minorHAnsi"/>
              </w:rPr>
              <w:t xml:space="preserve">focus on differentiation, </w:t>
            </w:r>
            <w:r w:rsidR="00A63CE2" w:rsidRPr="000F674F">
              <w:rPr>
                <w:rFonts w:ascii="Verdana" w:hAnsi="Verdana" w:cstheme="minorHAnsi"/>
              </w:rPr>
              <w:t>has supported</w:t>
            </w:r>
            <w:r w:rsidRPr="000F674F">
              <w:rPr>
                <w:rFonts w:ascii="Verdana" w:hAnsi="Verdana" w:cstheme="minorHAnsi"/>
              </w:rPr>
              <w:t xml:space="preserve"> all students in achieving success and building on their strengths.</w:t>
            </w:r>
          </w:p>
          <w:p w:rsidR="00A175AA" w:rsidRDefault="00B81FE9" w:rsidP="00B429CF">
            <w:pPr>
              <w:pStyle w:val="Table-Entry"/>
              <w:spacing w:before="120"/>
              <w:rPr>
                <w:rFonts w:ascii="Verdana" w:hAnsi="Verdana"/>
                <w:color w:val="auto"/>
                <w:sz w:val="20"/>
              </w:rPr>
            </w:pPr>
            <w:r w:rsidRPr="000F674F">
              <w:rPr>
                <w:rFonts w:ascii="Verdana" w:hAnsi="Verdana" w:cstheme="minorHAnsi"/>
                <w:color w:val="auto"/>
                <w:sz w:val="22"/>
                <w:szCs w:val="22"/>
              </w:rPr>
              <w:t>Over the course of this strategic plan,</w:t>
            </w:r>
            <w:r w:rsidR="008167EE">
              <w:rPr>
                <w:rFonts w:ascii="Verdana" w:hAnsi="Verdana" w:cstheme="minorHAnsi"/>
                <w:color w:val="auto"/>
                <w:sz w:val="22"/>
                <w:szCs w:val="22"/>
              </w:rPr>
              <w:t xml:space="preserve"> our intention is to improve</w:t>
            </w:r>
            <w:r w:rsidRPr="000F674F">
              <w:rPr>
                <w:rFonts w:ascii="Verdana" w:hAnsi="Verdana" w:cstheme="minorHAnsi"/>
                <w:color w:val="auto"/>
                <w:sz w:val="22"/>
                <w:szCs w:val="22"/>
              </w:rPr>
              <w:t xml:space="preserve"> student growth in literacy and numeracy and continu</w:t>
            </w:r>
            <w:r w:rsidR="008167EE">
              <w:rPr>
                <w:rFonts w:ascii="Verdana" w:hAnsi="Verdana" w:cstheme="minorHAnsi"/>
                <w:color w:val="auto"/>
                <w:sz w:val="22"/>
                <w:szCs w:val="22"/>
              </w:rPr>
              <w:t xml:space="preserve">e to improve VCE results. This </w:t>
            </w:r>
            <w:r w:rsidR="00A175AA" w:rsidRPr="000F674F">
              <w:rPr>
                <w:rFonts w:ascii="Verdana" w:hAnsi="Verdana" w:cstheme="minorHAnsi"/>
                <w:color w:val="auto"/>
                <w:sz w:val="22"/>
                <w:szCs w:val="22"/>
              </w:rPr>
              <w:t xml:space="preserve">will </w:t>
            </w:r>
            <w:r w:rsidRPr="000F674F">
              <w:rPr>
                <w:rFonts w:ascii="Verdana" w:hAnsi="Verdana" w:cstheme="minorHAnsi"/>
                <w:color w:val="auto"/>
                <w:sz w:val="22"/>
                <w:szCs w:val="22"/>
              </w:rPr>
              <w:t>be achieved through b</w:t>
            </w:r>
            <w:r w:rsidR="00A25217" w:rsidRPr="000F674F">
              <w:rPr>
                <w:rFonts w:ascii="Verdana" w:hAnsi="Verdana" w:cstheme="minorHAnsi"/>
                <w:color w:val="auto"/>
                <w:sz w:val="22"/>
                <w:szCs w:val="22"/>
              </w:rPr>
              <w:t xml:space="preserve">uilding </w:t>
            </w:r>
            <w:r w:rsidR="00A63CE2" w:rsidRPr="000F674F">
              <w:rPr>
                <w:rFonts w:ascii="Verdana" w:hAnsi="Verdana" w:cstheme="minorHAnsi"/>
                <w:color w:val="auto"/>
                <w:sz w:val="22"/>
                <w:szCs w:val="22"/>
              </w:rPr>
              <w:t>staff capacity and consisten</w:t>
            </w:r>
            <w:r w:rsidR="008167EE">
              <w:rPr>
                <w:rFonts w:ascii="Verdana" w:hAnsi="Verdana" w:cstheme="minorHAnsi"/>
                <w:color w:val="auto"/>
                <w:sz w:val="22"/>
                <w:szCs w:val="22"/>
              </w:rPr>
              <w:t>cy</w:t>
            </w:r>
            <w:r w:rsidR="00A63CE2" w:rsidRPr="000F674F">
              <w:rPr>
                <w:rFonts w:ascii="Verdana" w:hAnsi="Verdana" w:cstheme="minorHAnsi"/>
                <w:color w:val="auto"/>
                <w:sz w:val="22"/>
                <w:szCs w:val="22"/>
              </w:rPr>
              <w:t xml:space="preserve"> in effective teaching practice and their knowledge regarding collection and use of student data to inform </w:t>
            </w:r>
            <w:r w:rsidR="00A175AA" w:rsidRPr="000F674F">
              <w:rPr>
                <w:rFonts w:ascii="Verdana" w:hAnsi="Verdana" w:cstheme="minorHAnsi"/>
                <w:color w:val="auto"/>
                <w:sz w:val="22"/>
                <w:szCs w:val="22"/>
              </w:rPr>
              <w:t>their practice.</w:t>
            </w:r>
            <w:r w:rsidR="008167EE">
              <w:rPr>
                <w:rFonts w:ascii="Verdana" w:hAnsi="Verdana"/>
                <w:color w:val="auto"/>
                <w:sz w:val="20"/>
              </w:rPr>
              <w:t xml:space="preserve"> Developing and implementing a </w:t>
            </w:r>
            <w:r w:rsidR="00B429CF">
              <w:rPr>
                <w:rFonts w:ascii="Verdana" w:hAnsi="Verdana"/>
                <w:color w:val="auto"/>
                <w:sz w:val="20"/>
              </w:rPr>
              <w:t>whole school approac</w:t>
            </w:r>
            <w:r w:rsidR="008167EE">
              <w:rPr>
                <w:rFonts w:ascii="Verdana" w:hAnsi="Verdana"/>
                <w:color w:val="auto"/>
                <w:sz w:val="20"/>
              </w:rPr>
              <w:t>h to the teaching of literacies.</w:t>
            </w:r>
          </w:p>
          <w:p w:rsidR="008167EE" w:rsidRPr="000F674F" w:rsidRDefault="008167EE" w:rsidP="008167EE">
            <w:pPr>
              <w:rPr>
                <w:rFonts w:ascii="Verdana" w:hAnsi="Verdana"/>
                <w:color w:val="000000" w:themeColor="text1"/>
              </w:rPr>
            </w:pPr>
            <w:r>
              <w:rPr>
                <w:rFonts w:ascii="Verdana" w:hAnsi="Verdana"/>
                <w:sz w:val="20"/>
              </w:rPr>
              <w:t xml:space="preserve">The focus will be </w:t>
            </w:r>
            <w:r w:rsidRPr="000F674F">
              <w:rPr>
                <w:rFonts w:ascii="Verdana" w:hAnsi="Verdana"/>
                <w:color w:val="000000" w:themeColor="text1"/>
              </w:rPr>
              <w:t>Exce</w:t>
            </w:r>
            <w:r>
              <w:rPr>
                <w:rFonts w:ascii="Verdana" w:hAnsi="Verdana"/>
                <w:color w:val="000000" w:themeColor="text1"/>
              </w:rPr>
              <w:t>llence in teaching and learning-b</w:t>
            </w:r>
            <w:r w:rsidRPr="000F674F">
              <w:rPr>
                <w:rFonts w:ascii="Verdana" w:hAnsi="Verdana"/>
                <w:color w:val="000000" w:themeColor="text1"/>
              </w:rPr>
              <w:t>uilding practice excellence</w:t>
            </w:r>
            <w:r w:rsidR="00ED2C85">
              <w:rPr>
                <w:rFonts w:ascii="Verdana" w:hAnsi="Verdana"/>
                <w:color w:val="000000" w:themeColor="text1"/>
              </w:rPr>
              <w:t>.</w:t>
            </w:r>
          </w:p>
          <w:p w:rsidR="00A175AA" w:rsidRPr="00ED2C85" w:rsidRDefault="00ED2C85" w:rsidP="00ED2C85">
            <w:pPr>
              <w:pStyle w:val="Table-Entry"/>
              <w:spacing w:before="60"/>
              <w:rPr>
                <w:rFonts w:ascii="Verdana" w:hAnsi="Verdana"/>
                <w:color w:val="auto"/>
                <w:sz w:val="22"/>
                <w:szCs w:val="22"/>
              </w:rPr>
            </w:pPr>
            <w:r w:rsidRPr="00ED2C85">
              <w:rPr>
                <w:rFonts w:ascii="Verdana" w:hAnsi="Verdana"/>
                <w:color w:val="auto"/>
                <w:sz w:val="22"/>
                <w:szCs w:val="22"/>
              </w:rPr>
              <w:t xml:space="preserve">The school’s strategies have been focused on promoting student leadership to build engagement and wellbeing along with positive and respectful relationships among students, teachers, and parents. </w:t>
            </w:r>
            <w:r w:rsidR="00B81FE9" w:rsidRPr="00ED2C85">
              <w:rPr>
                <w:rFonts w:ascii="Verdana" w:hAnsi="Verdana" w:cstheme="minorHAnsi"/>
                <w:sz w:val="22"/>
                <w:szCs w:val="22"/>
              </w:rPr>
              <w:t xml:space="preserve">The recent introduction of Positive Education </w:t>
            </w:r>
            <w:r w:rsidR="00A175AA" w:rsidRPr="00ED2C85">
              <w:rPr>
                <w:rFonts w:ascii="Verdana" w:hAnsi="Verdana" w:cstheme="minorHAnsi"/>
                <w:sz w:val="22"/>
                <w:szCs w:val="22"/>
              </w:rPr>
              <w:t xml:space="preserve">and the STAR approach </w:t>
            </w:r>
            <w:r w:rsidR="00B81FE9" w:rsidRPr="00ED2C85">
              <w:rPr>
                <w:rFonts w:ascii="Verdana" w:hAnsi="Verdana" w:cstheme="minorHAnsi"/>
                <w:sz w:val="22"/>
                <w:szCs w:val="22"/>
              </w:rPr>
              <w:t xml:space="preserve">has </w:t>
            </w:r>
            <w:r w:rsidR="00A175AA" w:rsidRPr="00ED2C85">
              <w:rPr>
                <w:rFonts w:ascii="Verdana" w:hAnsi="Verdana"/>
                <w:color w:val="000000" w:themeColor="text1"/>
                <w:sz w:val="22"/>
                <w:szCs w:val="22"/>
              </w:rPr>
              <w:t xml:space="preserve">assisted students to be responsible for their own behaviors and change negative behaviors. </w:t>
            </w:r>
            <w:r w:rsidR="008167EE" w:rsidRPr="00ED2C85">
              <w:rPr>
                <w:rFonts w:ascii="Verdana" w:hAnsi="Verdana"/>
                <w:color w:val="000000" w:themeColor="text1"/>
                <w:sz w:val="22"/>
                <w:szCs w:val="22"/>
              </w:rPr>
              <w:t>The intention is to c</w:t>
            </w:r>
            <w:r w:rsidR="00A175AA" w:rsidRPr="00ED2C85">
              <w:rPr>
                <w:rFonts w:ascii="Verdana" w:hAnsi="Verdana"/>
                <w:color w:val="000000" w:themeColor="text1"/>
                <w:sz w:val="22"/>
                <w:szCs w:val="22"/>
              </w:rPr>
              <w:t>reat</w:t>
            </w:r>
            <w:r w:rsidR="008167EE" w:rsidRPr="00ED2C85">
              <w:rPr>
                <w:rFonts w:ascii="Verdana" w:hAnsi="Verdana"/>
                <w:color w:val="000000" w:themeColor="text1"/>
                <w:sz w:val="22"/>
                <w:szCs w:val="22"/>
              </w:rPr>
              <w:t>e positive c</w:t>
            </w:r>
            <w:r w:rsidR="00A175AA" w:rsidRPr="00ED2C85">
              <w:rPr>
                <w:rFonts w:ascii="Verdana" w:hAnsi="Verdana"/>
                <w:color w:val="000000" w:themeColor="text1"/>
                <w:sz w:val="22"/>
                <w:szCs w:val="22"/>
              </w:rPr>
              <w:t xml:space="preserve">lassroom environments and address challenging </w:t>
            </w:r>
            <w:proofErr w:type="spellStart"/>
            <w:r w:rsidR="00A175AA" w:rsidRPr="00ED2C85">
              <w:rPr>
                <w:rFonts w:ascii="Verdana" w:hAnsi="Verdana"/>
                <w:color w:val="000000" w:themeColor="text1"/>
                <w:sz w:val="22"/>
                <w:szCs w:val="22"/>
              </w:rPr>
              <w:t>behaviours</w:t>
            </w:r>
            <w:proofErr w:type="spellEnd"/>
            <w:r w:rsidRPr="00ED2C85">
              <w:rPr>
                <w:rFonts w:ascii="Verdana" w:hAnsi="Verdana"/>
                <w:color w:val="000000" w:themeColor="text1"/>
                <w:sz w:val="22"/>
                <w:szCs w:val="22"/>
              </w:rPr>
              <w:t xml:space="preserve"> </w:t>
            </w:r>
            <w:r w:rsidR="008167EE" w:rsidRPr="00ED2C85">
              <w:rPr>
                <w:rFonts w:ascii="Verdana" w:hAnsi="Verdana"/>
                <w:color w:val="000000" w:themeColor="text1"/>
                <w:sz w:val="22"/>
                <w:szCs w:val="22"/>
              </w:rPr>
              <w:t xml:space="preserve">which impact on the learning of all students. This </w:t>
            </w:r>
            <w:r w:rsidR="00A175AA" w:rsidRPr="00ED2C85">
              <w:rPr>
                <w:rFonts w:ascii="Verdana" w:hAnsi="Verdana"/>
                <w:color w:val="000000" w:themeColor="text1"/>
                <w:sz w:val="22"/>
                <w:szCs w:val="22"/>
              </w:rPr>
              <w:t xml:space="preserve">will be achieved by </w:t>
            </w:r>
            <w:r w:rsidR="00A175AA" w:rsidRPr="00ED2C85">
              <w:rPr>
                <w:rFonts w:ascii="Verdana" w:hAnsi="Verdana"/>
                <w:color w:val="auto"/>
                <w:sz w:val="22"/>
                <w:szCs w:val="22"/>
              </w:rPr>
              <w:lastRenderedPageBreak/>
              <w:t xml:space="preserve">involving all key stakeholders in a review of the student management processes and procedures and ensuring the agreed process is implemented consistently school wide. </w:t>
            </w:r>
            <w:r w:rsidR="001A54D8" w:rsidRPr="00ED2C85">
              <w:rPr>
                <w:rFonts w:ascii="Verdana" w:hAnsi="Verdana"/>
                <w:color w:val="auto"/>
                <w:sz w:val="22"/>
                <w:szCs w:val="22"/>
              </w:rPr>
              <w:t>In addition to this t</w:t>
            </w:r>
            <w:r w:rsidR="00A175AA" w:rsidRPr="00ED2C85">
              <w:rPr>
                <w:rFonts w:ascii="Verdana" w:hAnsi="Verdana"/>
                <w:color w:val="auto"/>
                <w:sz w:val="22"/>
                <w:szCs w:val="22"/>
              </w:rPr>
              <w:t xml:space="preserve">argeted professional development to build staff capacity in addressing challenging behaviours and engaging all </w:t>
            </w:r>
            <w:r w:rsidR="001A54D8" w:rsidRPr="00ED2C85">
              <w:rPr>
                <w:rFonts w:ascii="Verdana" w:hAnsi="Verdana"/>
                <w:color w:val="auto"/>
                <w:sz w:val="22"/>
                <w:szCs w:val="22"/>
              </w:rPr>
              <w:t>students will be developed as well as u</w:t>
            </w:r>
            <w:r w:rsidR="00A175AA" w:rsidRPr="00ED2C85">
              <w:rPr>
                <w:rFonts w:ascii="Verdana" w:hAnsi="Verdana"/>
                <w:color w:val="auto"/>
                <w:sz w:val="22"/>
                <w:szCs w:val="22"/>
              </w:rPr>
              <w:t>tilising student voice to inform improvement of teacher practice</w:t>
            </w:r>
            <w:r w:rsidR="000F674F" w:rsidRPr="00ED2C85">
              <w:rPr>
                <w:rFonts w:ascii="Verdana" w:hAnsi="Verdana"/>
                <w:color w:val="auto"/>
                <w:sz w:val="22"/>
                <w:szCs w:val="22"/>
              </w:rPr>
              <w:t>.</w:t>
            </w:r>
            <w:r w:rsidRPr="00ED2C85">
              <w:rPr>
                <w:rFonts w:ascii="Verdana" w:hAnsi="Verdana"/>
                <w:color w:val="auto"/>
                <w:sz w:val="22"/>
                <w:szCs w:val="22"/>
              </w:rPr>
              <w:t xml:space="preserve"> The focus will be Positive Climate for Learning-</w:t>
            </w:r>
          </w:p>
          <w:p w:rsidR="00667729" w:rsidRPr="000F674F" w:rsidRDefault="00667729" w:rsidP="00ED2C85">
            <w:pPr>
              <w:rPr>
                <w:rFonts w:ascii="Verdana" w:hAnsi="Verdana" w:cstheme="minorHAnsi"/>
              </w:rPr>
            </w:pPr>
            <w:r w:rsidRPr="00ED2C85">
              <w:rPr>
                <w:rFonts w:ascii="Verdana" w:hAnsi="Verdana" w:cstheme="minorHAnsi"/>
              </w:rPr>
              <w:br/>
            </w:r>
          </w:p>
          <w:p w:rsidR="0036493A" w:rsidRPr="000F674F" w:rsidRDefault="0036493A" w:rsidP="00F11C09">
            <w:pPr>
              <w:rPr>
                <w:rFonts w:ascii="Verdana" w:hAnsi="Verdana" w:cstheme="minorHAnsi"/>
                <w:highlight w:val="lightGray"/>
              </w:rPr>
            </w:pPr>
          </w:p>
          <w:p w:rsidR="0036493A" w:rsidRPr="000F674F" w:rsidRDefault="0036493A" w:rsidP="00F11C09">
            <w:pPr>
              <w:rPr>
                <w:rFonts w:ascii="Verdana" w:hAnsi="Verdana" w:cstheme="minorHAnsi"/>
              </w:rPr>
            </w:pPr>
          </w:p>
          <w:p w:rsidR="00CA0A61" w:rsidRPr="000F674F" w:rsidRDefault="00CA0A61" w:rsidP="00F11C09">
            <w:pPr>
              <w:rPr>
                <w:rFonts w:ascii="Verdana" w:hAnsi="Verdana" w:cstheme="minorHAnsi"/>
              </w:rPr>
            </w:pPr>
          </w:p>
          <w:p w:rsidR="00CA0A61" w:rsidRPr="000F674F" w:rsidRDefault="00CA0A61" w:rsidP="00F11C09">
            <w:pPr>
              <w:rPr>
                <w:rFonts w:ascii="Verdana" w:hAnsi="Verdana"/>
              </w:rPr>
            </w:pPr>
          </w:p>
          <w:p w:rsidR="00CA0A61" w:rsidRPr="000F674F" w:rsidRDefault="00CA0A61" w:rsidP="00F11C09">
            <w:pPr>
              <w:rPr>
                <w:rFonts w:ascii="Verdana" w:hAnsi="Verdana"/>
              </w:rPr>
            </w:pPr>
          </w:p>
          <w:p w:rsidR="00CA0A61" w:rsidRPr="000F674F" w:rsidRDefault="00CA0A61" w:rsidP="00F11C09">
            <w:pPr>
              <w:rPr>
                <w:rFonts w:ascii="Verdana" w:hAnsi="Verdana"/>
              </w:rPr>
            </w:pPr>
          </w:p>
          <w:p w:rsidR="00CA0A61" w:rsidRDefault="00CA0A61" w:rsidP="00F11C09">
            <w:pPr>
              <w:rPr>
                <w:rFonts w:ascii="Verdana" w:hAnsi="Verdana"/>
              </w:rPr>
            </w:pPr>
          </w:p>
          <w:p w:rsidR="00ED2C85" w:rsidRDefault="00ED2C85" w:rsidP="00F11C09">
            <w:pPr>
              <w:rPr>
                <w:rFonts w:ascii="Verdana" w:hAnsi="Verdana"/>
              </w:rPr>
            </w:pPr>
          </w:p>
          <w:p w:rsidR="00ED2C85" w:rsidRDefault="00ED2C85" w:rsidP="00F11C09">
            <w:pPr>
              <w:rPr>
                <w:rFonts w:ascii="Verdana" w:hAnsi="Verdana"/>
              </w:rPr>
            </w:pPr>
          </w:p>
          <w:p w:rsidR="00ED2C85" w:rsidRPr="000F674F" w:rsidRDefault="00ED2C85" w:rsidP="00F11C09">
            <w:pPr>
              <w:rPr>
                <w:rFonts w:ascii="Verdana" w:hAnsi="Verdana"/>
              </w:rPr>
            </w:pPr>
          </w:p>
        </w:tc>
      </w:tr>
      <w:tr w:rsidR="0036493A" w:rsidRPr="000F674F" w:rsidTr="004A5B3C">
        <w:trPr>
          <w:trHeight w:val="269"/>
        </w:trPr>
        <w:tc>
          <w:tcPr>
            <w:tcW w:w="3970" w:type="dxa"/>
            <w:vMerge/>
            <w:shd w:val="clear" w:color="auto" w:fill="C2D69B" w:themeFill="accent3" w:themeFillTint="99"/>
          </w:tcPr>
          <w:p w:rsidR="0036493A" w:rsidRPr="000F674F" w:rsidRDefault="0036493A" w:rsidP="00F11C09">
            <w:pPr>
              <w:rPr>
                <w:rFonts w:ascii="Verdana" w:hAnsi="Verdana"/>
                <w:b/>
              </w:rPr>
            </w:pPr>
          </w:p>
        </w:tc>
        <w:tc>
          <w:tcPr>
            <w:tcW w:w="4394" w:type="dxa"/>
            <w:vMerge/>
            <w:shd w:val="clear" w:color="auto" w:fill="C2D69B" w:themeFill="accent3" w:themeFillTint="99"/>
          </w:tcPr>
          <w:p w:rsidR="0036493A" w:rsidRPr="000F674F" w:rsidRDefault="0036493A" w:rsidP="00F11C09">
            <w:pPr>
              <w:rPr>
                <w:rFonts w:ascii="Verdana" w:hAnsi="Verdana"/>
                <w:b/>
              </w:rPr>
            </w:pPr>
          </w:p>
        </w:tc>
        <w:tc>
          <w:tcPr>
            <w:tcW w:w="6946" w:type="dxa"/>
            <w:vMerge/>
            <w:shd w:val="clear" w:color="auto" w:fill="C2D69B" w:themeFill="accent3" w:themeFillTint="99"/>
          </w:tcPr>
          <w:p w:rsidR="0036493A" w:rsidRPr="000F674F" w:rsidRDefault="0036493A" w:rsidP="00F11C09">
            <w:pPr>
              <w:rPr>
                <w:rFonts w:ascii="Verdana" w:hAnsi="Verdana"/>
                <w:b/>
              </w:rPr>
            </w:pPr>
          </w:p>
        </w:tc>
        <w:tc>
          <w:tcPr>
            <w:tcW w:w="7229" w:type="dxa"/>
            <w:vMerge/>
            <w:shd w:val="clear" w:color="auto" w:fill="C2D69B" w:themeFill="accent3" w:themeFillTint="99"/>
          </w:tcPr>
          <w:p w:rsidR="0036493A" w:rsidRPr="000F674F" w:rsidRDefault="0036493A" w:rsidP="00F11C09">
            <w:pPr>
              <w:rPr>
                <w:rFonts w:ascii="Verdana" w:hAnsi="Verdana"/>
                <w:b/>
              </w:rPr>
            </w:pPr>
          </w:p>
        </w:tc>
      </w:tr>
      <w:tr w:rsidR="0036493A" w:rsidRPr="000F674F" w:rsidTr="004A5B3C">
        <w:trPr>
          <w:trHeight w:val="269"/>
        </w:trPr>
        <w:tc>
          <w:tcPr>
            <w:tcW w:w="3970" w:type="dxa"/>
            <w:vMerge/>
          </w:tcPr>
          <w:p w:rsidR="0036493A" w:rsidRPr="000F674F" w:rsidRDefault="0036493A" w:rsidP="00F11C09">
            <w:pPr>
              <w:rPr>
                <w:rFonts w:ascii="Verdana" w:hAnsi="Verdana"/>
                <w:highlight w:val="lightGray"/>
              </w:rPr>
            </w:pPr>
          </w:p>
        </w:tc>
        <w:tc>
          <w:tcPr>
            <w:tcW w:w="4394" w:type="dxa"/>
            <w:vMerge/>
          </w:tcPr>
          <w:p w:rsidR="0036493A" w:rsidRPr="000F674F" w:rsidRDefault="0036493A" w:rsidP="00F11C09">
            <w:pPr>
              <w:rPr>
                <w:rFonts w:ascii="Verdana" w:hAnsi="Verdana"/>
                <w:i/>
              </w:rPr>
            </w:pPr>
          </w:p>
        </w:tc>
        <w:tc>
          <w:tcPr>
            <w:tcW w:w="6946" w:type="dxa"/>
            <w:vMerge/>
          </w:tcPr>
          <w:p w:rsidR="0036493A" w:rsidRPr="000F674F" w:rsidRDefault="0036493A" w:rsidP="00F11C09">
            <w:pPr>
              <w:rPr>
                <w:rFonts w:ascii="Verdana" w:hAnsi="Verdana"/>
                <w:i/>
              </w:rPr>
            </w:pPr>
          </w:p>
        </w:tc>
        <w:tc>
          <w:tcPr>
            <w:tcW w:w="7229" w:type="dxa"/>
            <w:vMerge/>
          </w:tcPr>
          <w:p w:rsidR="0036493A" w:rsidRPr="000F674F" w:rsidRDefault="0036493A" w:rsidP="00F11C09">
            <w:pPr>
              <w:rPr>
                <w:rFonts w:ascii="Verdana" w:hAnsi="Verdana"/>
                <w:i/>
              </w:rPr>
            </w:pPr>
          </w:p>
        </w:tc>
        <w:bookmarkStart w:id="0" w:name="_GoBack"/>
        <w:bookmarkEnd w:id="0"/>
      </w:tr>
    </w:tbl>
    <w:p w:rsidR="0036493A" w:rsidRPr="000F674F" w:rsidRDefault="0036493A" w:rsidP="0036493A">
      <w:pPr>
        <w:tabs>
          <w:tab w:val="left" w:pos="3000"/>
        </w:tabs>
        <w:rPr>
          <w:rFonts w:ascii="Verdana" w:hAnsi="Verdana"/>
        </w:rPr>
      </w:pPr>
    </w:p>
    <w:tbl>
      <w:tblPr>
        <w:tblStyle w:val="TableGrid"/>
        <w:tblW w:w="22587" w:type="dxa"/>
        <w:tblInd w:w="-743" w:type="dxa"/>
        <w:tblLook w:val="04A0" w:firstRow="1" w:lastRow="0" w:firstColumn="1" w:lastColumn="0" w:noHBand="0" w:noVBand="1"/>
      </w:tblPr>
      <w:tblGrid>
        <w:gridCol w:w="6663"/>
        <w:gridCol w:w="2694"/>
        <w:gridCol w:w="6615"/>
        <w:gridCol w:w="6615"/>
      </w:tblGrid>
      <w:tr w:rsidR="0036493A" w:rsidRPr="000F674F" w:rsidTr="00F11C09">
        <w:trPr>
          <w:trHeight w:val="570"/>
        </w:trPr>
        <w:tc>
          <w:tcPr>
            <w:tcW w:w="6663" w:type="dxa"/>
            <w:shd w:val="clear" w:color="auto" w:fill="C2D69B" w:themeFill="accent3" w:themeFillTint="99"/>
          </w:tcPr>
          <w:p w:rsidR="0036493A" w:rsidRPr="000F674F" w:rsidRDefault="0036493A" w:rsidP="00F11C09">
            <w:pPr>
              <w:spacing w:before="120" w:after="120"/>
              <w:rPr>
                <w:rFonts w:ascii="Verdana" w:hAnsi="Verdana"/>
                <w:b/>
              </w:rPr>
            </w:pPr>
            <w:r w:rsidRPr="000F674F">
              <w:rPr>
                <w:rFonts w:ascii="Verdana" w:hAnsi="Verdana"/>
                <w:b/>
              </w:rPr>
              <w:t xml:space="preserve">Four-year goals </w:t>
            </w:r>
            <w:r w:rsidRPr="000F674F">
              <w:rPr>
                <w:rFonts w:ascii="Verdana" w:hAnsi="Verdana"/>
                <w:b/>
              </w:rPr>
              <w:br/>
              <w:t>(for improving student achievement, engagement and wellbeing)</w:t>
            </w:r>
          </w:p>
        </w:tc>
        <w:tc>
          <w:tcPr>
            <w:tcW w:w="2694" w:type="dxa"/>
            <w:shd w:val="clear" w:color="auto" w:fill="C2D69B" w:themeFill="accent3" w:themeFillTint="99"/>
          </w:tcPr>
          <w:p w:rsidR="0036493A" w:rsidRPr="000F674F" w:rsidRDefault="0036493A" w:rsidP="00F11C09">
            <w:pPr>
              <w:spacing w:before="120"/>
              <w:rPr>
                <w:rFonts w:ascii="Verdana" w:hAnsi="Verdana"/>
                <w:b/>
              </w:rPr>
            </w:pPr>
            <w:r w:rsidRPr="000F674F">
              <w:rPr>
                <w:rFonts w:ascii="Verdana" w:hAnsi="Verdana"/>
                <w:b/>
              </w:rPr>
              <w:t>Improvement Priorities, Initiatives and/or Dimensions</w:t>
            </w:r>
          </w:p>
        </w:tc>
        <w:tc>
          <w:tcPr>
            <w:tcW w:w="6615" w:type="dxa"/>
            <w:shd w:val="clear" w:color="auto" w:fill="C2D69B" w:themeFill="accent3" w:themeFillTint="99"/>
          </w:tcPr>
          <w:p w:rsidR="0036493A" w:rsidRPr="000F674F" w:rsidRDefault="0036493A" w:rsidP="00F11C09">
            <w:pPr>
              <w:spacing w:before="120"/>
              <w:rPr>
                <w:rFonts w:ascii="Verdana" w:hAnsi="Verdana"/>
                <w:b/>
              </w:rPr>
            </w:pPr>
            <w:r w:rsidRPr="000F674F">
              <w:rPr>
                <w:rFonts w:ascii="Verdana" w:hAnsi="Verdana"/>
                <w:b/>
              </w:rPr>
              <w:t xml:space="preserve">Key improvement strategies </w:t>
            </w:r>
          </w:p>
        </w:tc>
        <w:tc>
          <w:tcPr>
            <w:tcW w:w="6615" w:type="dxa"/>
            <w:shd w:val="clear" w:color="auto" w:fill="C2D69B" w:themeFill="accent3" w:themeFillTint="99"/>
          </w:tcPr>
          <w:p w:rsidR="0036493A" w:rsidRPr="000F674F" w:rsidRDefault="0036493A" w:rsidP="00F11C09">
            <w:pPr>
              <w:spacing w:before="120"/>
              <w:rPr>
                <w:rFonts w:ascii="Verdana" w:hAnsi="Verdana"/>
                <w:b/>
              </w:rPr>
            </w:pPr>
            <w:r w:rsidRPr="000F674F">
              <w:rPr>
                <w:rFonts w:ascii="Verdana" w:hAnsi="Verdana"/>
                <w:b/>
              </w:rPr>
              <w:t xml:space="preserve">Targets </w:t>
            </w:r>
            <w:r w:rsidRPr="000F674F">
              <w:rPr>
                <w:rFonts w:ascii="Verdana" w:hAnsi="Verdana"/>
                <w:b/>
              </w:rPr>
              <w:br/>
              <w:t>(for improving student achievement, engagement and wellbeing)</w:t>
            </w:r>
          </w:p>
        </w:tc>
      </w:tr>
      <w:tr w:rsidR="0036493A" w:rsidRPr="000F674F" w:rsidTr="00F11C09">
        <w:trPr>
          <w:trHeight w:val="720"/>
        </w:trPr>
        <w:tc>
          <w:tcPr>
            <w:tcW w:w="6663" w:type="dxa"/>
            <w:shd w:val="clear" w:color="auto" w:fill="auto"/>
          </w:tcPr>
          <w:p w:rsidR="0036493A" w:rsidRPr="000F674F" w:rsidRDefault="00061385" w:rsidP="00061385">
            <w:pPr>
              <w:rPr>
                <w:rFonts w:ascii="Verdana" w:hAnsi="Verdana"/>
                <w:b/>
              </w:rPr>
            </w:pPr>
            <w:r w:rsidRPr="000F674F">
              <w:rPr>
                <w:rFonts w:ascii="Verdana" w:hAnsi="Verdana"/>
                <w:b/>
              </w:rPr>
              <w:t>STUDENT ACHIEVEMENT</w:t>
            </w:r>
          </w:p>
          <w:p w:rsidR="00061385" w:rsidRPr="000F674F" w:rsidRDefault="00061385" w:rsidP="00061385">
            <w:pPr>
              <w:rPr>
                <w:rFonts w:ascii="Verdana" w:hAnsi="Verdana"/>
                <w:highlight w:val="lightGray"/>
              </w:rPr>
            </w:pPr>
          </w:p>
          <w:p w:rsidR="00061385" w:rsidRPr="000F674F" w:rsidRDefault="00061385" w:rsidP="00061385">
            <w:pPr>
              <w:rPr>
                <w:rFonts w:ascii="Verdana" w:hAnsi="Verdana"/>
              </w:rPr>
            </w:pPr>
            <w:r w:rsidRPr="000F674F">
              <w:rPr>
                <w:rFonts w:ascii="Verdana" w:hAnsi="Verdana"/>
              </w:rPr>
              <w:t>To develop students that are literate, numerate, critical and creative thinkers.</w:t>
            </w:r>
          </w:p>
          <w:p w:rsidR="00061385" w:rsidRPr="000F674F" w:rsidRDefault="00061385" w:rsidP="00061385">
            <w:pPr>
              <w:rPr>
                <w:rFonts w:ascii="Verdana" w:hAnsi="Verdana"/>
              </w:rPr>
            </w:pPr>
          </w:p>
          <w:p w:rsidR="00061385" w:rsidRPr="000F674F" w:rsidRDefault="00061385" w:rsidP="00061385">
            <w:pPr>
              <w:rPr>
                <w:rFonts w:ascii="Verdana" w:hAnsi="Verdana"/>
                <w:highlight w:val="lightGray"/>
              </w:rPr>
            </w:pPr>
          </w:p>
        </w:tc>
        <w:tc>
          <w:tcPr>
            <w:tcW w:w="2694" w:type="dxa"/>
            <w:shd w:val="clear" w:color="auto" w:fill="auto"/>
          </w:tcPr>
          <w:p w:rsidR="00F816E0" w:rsidRPr="000F674F" w:rsidRDefault="00F816E0" w:rsidP="00F816E0">
            <w:pPr>
              <w:rPr>
                <w:rFonts w:ascii="Verdana" w:hAnsi="Verdana"/>
                <w:b/>
                <w:i/>
              </w:rPr>
            </w:pPr>
          </w:p>
          <w:p w:rsidR="00F816E0" w:rsidRPr="000F674F" w:rsidRDefault="00F816E0" w:rsidP="00F816E0">
            <w:pPr>
              <w:rPr>
                <w:rFonts w:ascii="Verdana" w:hAnsi="Verdana"/>
                <w:color w:val="000000" w:themeColor="text1"/>
              </w:rPr>
            </w:pPr>
            <w:r w:rsidRPr="000F674F">
              <w:rPr>
                <w:rFonts w:ascii="Verdana" w:hAnsi="Verdana"/>
                <w:color w:val="000000" w:themeColor="text1"/>
              </w:rPr>
              <w:t xml:space="preserve">Excellence in teaching and learning </w:t>
            </w:r>
          </w:p>
          <w:p w:rsidR="00F816E0" w:rsidRPr="000F674F" w:rsidRDefault="00F816E0" w:rsidP="00F816E0">
            <w:pPr>
              <w:rPr>
                <w:rFonts w:ascii="Verdana" w:hAnsi="Verdana"/>
                <w:color w:val="000000" w:themeColor="text1"/>
              </w:rPr>
            </w:pPr>
          </w:p>
          <w:p w:rsidR="00F816E0" w:rsidRPr="000F674F" w:rsidRDefault="00F816E0" w:rsidP="00F816E0">
            <w:pPr>
              <w:rPr>
                <w:rFonts w:ascii="Verdana" w:hAnsi="Verdana"/>
                <w:color w:val="000000" w:themeColor="text1"/>
              </w:rPr>
            </w:pPr>
            <w:r w:rsidRPr="000F674F">
              <w:rPr>
                <w:rFonts w:ascii="Verdana" w:hAnsi="Verdana"/>
                <w:color w:val="000000" w:themeColor="text1"/>
              </w:rPr>
              <w:t>Building practice excellence</w:t>
            </w:r>
          </w:p>
          <w:p w:rsidR="0036493A" w:rsidRPr="000F674F" w:rsidRDefault="0036493A" w:rsidP="00F11C09">
            <w:pPr>
              <w:rPr>
                <w:rFonts w:ascii="Verdana" w:hAnsi="Verdana"/>
                <w:b/>
              </w:rPr>
            </w:pPr>
          </w:p>
          <w:p w:rsidR="009109A7" w:rsidRPr="000F674F" w:rsidRDefault="009109A7" w:rsidP="009109A7">
            <w:pPr>
              <w:widowControl w:val="0"/>
              <w:tabs>
                <w:tab w:val="left" w:pos="205"/>
              </w:tabs>
              <w:autoSpaceDE w:val="0"/>
              <w:autoSpaceDN w:val="0"/>
              <w:adjustRightInd w:val="0"/>
              <w:rPr>
                <w:rFonts w:ascii="Verdana" w:eastAsia="Times New Roman" w:hAnsi="Verdana" w:cstheme="minorHAnsi"/>
                <w:lang w:val="en-US"/>
              </w:rPr>
            </w:pPr>
            <w:r w:rsidRPr="000F674F">
              <w:rPr>
                <w:rFonts w:ascii="Verdana" w:eastAsia="Times New Roman" w:hAnsi="Verdana" w:cstheme="minorHAnsi"/>
                <w:lang w:val="en-US"/>
              </w:rPr>
              <w:t>Curriculum planning and assessment</w:t>
            </w:r>
          </w:p>
          <w:p w:rsidR="009109A7" w:rsidRPr="000F674F" w:rsidRDefault="009109A7" w:rsidP="00F11C09">
            <w:pPr>
              <w:rPr>
                <w:rFonts w:ascii="Verdana" w:hAnsi="Verdana"/>
                <w:b/>
              </w:rPr>
            </w:pPr>
          </w:p>
        </w:tc>
        <w:tc>
          <w:tcPr>
            <w:tcW w:w="6615" w:type="dxa"/>
            <w:shd w:val="clear" w:color="auto" w:fill="auto"/>
          </w:tcPr>
          <w:p w:rsidR="009109A7" w:rsidRPr="000F674F" w:rsidRDefault="009109A7" w:rsidP="00061385">
            <w:pPr>
              <w:pStyle w:val="NoSpacing"/>
              <w:rPr>
                <w:rFonts w:ascii="Verdana" w:hAnsi="Verdana"/>
                <w:b/>
              </w:rPr>
            </w:pPr>
            <w:r w:rsidRPr="000F674F">
              <w:rPr>
                <w:rFonts w:ascii="Verdana" w:hAnsi="Verdana"/>
                <w:b/>
              </w:rPr>
              <w:t>Key Improvement Strategy</w:t>
            </w:r>
          </w:p>
          <w:p w:rsidR="00061385" w:rsidRPr="000F674F" w:rsidRDefault="00061385" w:rsidP="00061385">
            <w:pPr>
              <w:pStyle w:val="NoSpacing"/>
              <w:rPr>
                <w:rFonts w:ascii="Verdana" w:hAnsi="Verdana"/>
              </w:rPr>
            </w:pPr>
            <w:r w:rsidRPr="000F674F">
              <w:rPr>
                <w:rFonts w:ascii="Verdana" w:hAnsi="Verdana"/>
              </w:rPr>
              <w:t>Collaboratively develop a whole school approach to teaching and learning where all teachers are held accountable for its consistent implementation.</w:t>
            </w:r>
          </w:p>
          <w:p w:rsidR="00061385" w:rsidRPr="000F674F" w:rsidRDefault="00061385" w:rsidP="00061385">
            <w:pPr>
              <w:pStyle w:val="NoSpacing"/>
              <w:rPr>
                <w:rFonts w:ascii="Verdana" w:hAnsi="Verdana"/>
              </w:rPr>
            </w:pPr>
          </w:p>
          <w:p w:rsidR="00061385" w:rsidRPr="000F674F" w:rsidRDefault="00061385" w:rsidP="00061385">
            <w:pPr>
              <w:pStyle w:val="NoSpacing"/>
              <w:numPr>
                <w:ilvl w:val="0"/>
                <w:numId w:val="2"/>
              </w:numPr>
              <w:rPr>
                <w:rFonts w:ascii="Verdana" w:hAnsi="Verdana"/>
              </w:rPr>
            </w:pPr>
            <w:r w:rsidRPr="000F674F">
              <w:rPr>
                <w:rFonts w:ascii="Verdana" w:hAnsi="Verdana"/>
              </w:rPr>
              <w:t>Developing a whole-school approach to improving student literacies.</w:t>
            </w:r>
          </w:p>
          <w:p w:rsidR="009109A7" w:rsidRPr="000F674F" w:rsidRDefault="009109A7" w:rsidP="009109A7">
            <w:pPr>
              <w:pStyle w:val="NoSpacing"/>
              <w:ind w:left="360"/>
              <w:rPr>
                <w:rFonts w:ascii="Verdana" w:hAnsi="Verdana"/>
              </w:rPr>
            </w:pPr>
          </w:p>
          <w:p w:rsidR="00061385" w:rsidRPr="000F674F" w:rsidRDefault="009109A7" w:rsidP="00061385">
            <w:pPr>
              <w:pStyle w:val="NoSpacing"/>
              <w:rPr>
                <w:rFonts w:ascii="Verdana" w:hAnsi="Verdana"/>
                <w:b/>
              </w:rPr>
            </w:pPr>
            <w:r w:rsidRPr="000F674F">
              <w:rPr>
                <w:rFonts w:ascii="Verdana" w:hAnsi="Verdana"/>
                <w:b/>
              </w:rPr>
              <w:t>Key Improvement Strategy</w:t>
            </w:r>
          </w:p>
          <w:p w:rsidR="009109A7" w:rsidRPr="000F674F" w:rsidRDefault="009109A7" w:rsidP="00061385">
            <w:pPr>
              <w:pStyle w:val="NoSpacing"/>
              <w:rPr>
                <w:rFonts w:ascii="Verdana" w:hAnsi="Verdana"/>
              </w:rPr>
            </w:pPr>
          </w:p>
          <w:p w:rsidR="00061385" w:rsidRPr="000F674F" w:rsidRDefault="00061385" w:rsidP="00061385">
            <w:pPr>
              <w:pStyle w:val="NoSpacing"/>
              <w:rPr>
                <w:rFonts w:ascii="Verdana" w:hAnsi="Verdana"/>
              </w:rPr>
            </w:pPr>
            <w:r w:rsidRPr="000F674F">
              <w:rPr>
                <w:rFonts w:ascii="Verdana" w:hAnsi="Verdana"/>
              </w:rPr>
              <w:t xml:space="preserve">Develop a professional learning plan focussed on developing teachers knowledge and skills </w:t>
            </w:r>
          </w:p>
          <w:p w:rsidR="00061385" w:rsidRPr="000F674F" w:rsidRDefault="00061385" w:rsidP="00061385">
            <w:pPr>
              <w:pStyle w:val="Table-Entry"/>
              <w:numPr>
                <w:ilvl w:val="0"/>
                <w:numId w:val="1"/>
              </w:numPr>
              <w:spacing w:before="120"/>
              <w:rPr>
                <w:rFonts w:ascii="Verdana" w:hAnsi="Verdana"/>
                <w:color w:val="auto"/>
                <w:sz w:val="22"/>
                <w:szCs w:val="22"/>
              </w:rPr>
            </w:pPr>
            <w:r w:rsidRPr="000F674F">
              <w:rPr>
                <w:rFonts w:ascii="Verdana" w:hAnsi="Verdana"/>
                <w:color w:val="auto"/>
                <w:sz w:val="22"/>
                <w:szCs w:val="22"/>
              </w:rPr>
              <w:t xml:space="preserve">Ongoing </w:t>
            </w:r>
            <w:r w:rsidRPr="000F674F">
              <w:rPr>
                <w:rFonts w:ascii="Verdana" w:hAnsi="Verdana"/>
                <w:color w:val="000000" w:themeColor="text1"/>
                <w:sz w:val="22"/>
                <w:szCs w:val="22"/>
              </w:rPr>
              <w:t xml:space="preserve">teacher capacity building to implement the agreed teaching </w:t>
            </w:r>
            <w:r w:rsidRPr="000F674F">
              <w:rPr>
                <w:rFonts w:ascii="Verdana" w:hAnsi="Verdana"/>
                <w:color w:val="auto"/>
                <w:sz w:val="22"/>
                <w:szCs w:val="22"/>
              </w:rPr>
              <w:t xml:space="preserve">and learning </w:t>
            </w:r>
            <w:r w:rsidRPr="000F674F">
              <w:rPr>
                <w:rFonts w:ascii="Verdana" w:hAnsi="Verdana"/>
                <w:color w:val="000000" w:themeColor="text1"/>
                <w:sz w:val="22"/>
                <w:szCs w:val="22"/>
              </w:rPr>
              <w:t>model including a strengthening of the inquiry team peer observation model.</w:t>
            </w:r>
            <w:r w:rsidRPr="000F674F">
              <w:rPr>
                <w:rFonts w:ascii="Verdana" w:hAnsi="Verdana"/>
                <w:color w:val="auto"/>
                <w:sz w:val="22"/>
                <w:szCs w:val="22"/>
              </w:rPr>
              <w:t xml:space="preserve"> </w:t>
            </w:r>
          </w:p>
          <w:p w:rsidR="00061385" w:rsidRPr="000F674F" w:rsidRDefault="00061385" w:rsidP="00061385">
            <w:pPr>
              <w:pStyle w:val="Table-Entry"/>
              <w:numPr>
                <w:ilvl w:val="0"/>
                <w:numId w:val="1"/>
              </w:numPr>
              <w:spacing w:before="120"/>
              <w:rPr>
                <w:rFonts w:ascii="Verdana" w:hAnsi="Verdana"/>
                <w:color w:val="auto"/>
                <w:sz w:val="22"/>
                <w:szCs w:val="22"/>
              </w:rPr>
            </w:pPr>
            <w:r w:rsidRPr="000F674F">
              <w:rPr>
                <w:rFonts w:ascii="Verdana" w:hAnsi="Verdana"/>
                <w:color w:val="auto"/>
                <w:sz w:val="22"/>
                <w:szCs w:val="22"/>
              </w:rPr>
              <w:t xml:space="preserve">Developing and implementing a peer coaching model. </w:t>
            </w:r>
          </w:p>
          <w:p w:rsidR="00061385" w:rsidRPr="000F674F" w:rsidRDefault="00061385" w:rsidP="00061385">
            <w:pPr>
              <w:pStyle w:val="Table-Entry"/>
              <w:numPr>
                <w:ilvl w:val="0"/>
                <w:numId w:val="1"/>
              </w:numPr>
              <w:spacing w:before="120"/>
              <w:rPr>
                <w:rFonts w:ascii="Verdana" w:hAnsi="Verdana"/>
                <w:color w:val="auto"/>
                <w:sz w:val="22"/>
                <w:szCs w:val="22"/>
              </w:rPr>
            </w:pPr>
            <w:r w:rsidRPr="000F674F">
              <w:rPr>
                <w:rFonts w:ascii="Verdana" w:hAnsi="Verdana"/>
                <w:color w:val="auto"/>
                <w:sz w:val="22"/>
                <w:szCs w:val="22"/>
              </w:rPr>
              <w:t>Building teacher capacity in the effective use of formative assessment tools and evidence based teaching strategies.</w:t>
            </w:r>
          </w:p>
          <w:p w:rsidR="00061385" w:rsidRPr="000F674F" w:rsidRDefault="00061385" w:rsidP="00061385">
            <w:pPr>
              <w:pStyle w:val="Table-Entry"/>
              <w:numPr>
                <w:ilvl w:val="0"/>
                <w:numId w:val="1"/>
              </w:numPr>
              <w:spacing w:before="120"/>
              <w:rPr>
                <w:rFonts w:ascii="Verdana" w:hAnsi="Verdana"/>
                <w:color w:val="auto"/>
                <w:sz w:val="22"/>
                <w:szCs w:val="22"/>
              </w:rPr>
            </w:pPr>
            <w:r w:rsidRPr="000F674F">
              <w:rPr>
                <w:rFonts w:ascii="Verdana" w:hAnsi="Verdana"/>
                <w:color w:val="auto"/>
                <w:sz w:val="22"/>
                <w:szCs w:val="22"/>
              </w:rPr>
              <w:t>Continuing to develop teacher capacity in providing for the needs of high ability learners.</w:t>
            </w:r>
          </w:p>
          <w:p w:rsidR="00061385" w:rsidRPr="000F674F" w:rsidRDefault="00061385" w:rsidP="00061385">
            <w:pPr>
              <w:pStyle w:val="Table-Entry"/>
              <w:numPr>
                <w:ilvl w:val="0"/>
                <w:numId w:val="1"/>
              </w:numPr>
              <w:spacing w:before="120"/>
              <w:rPr>
                <w:rFonts w:ascii="Verdana" w:hAnsi="Verdana"/>
                <w:color w:val="auto"/>
                <w:sz w:val="22"/>
                <w:szCs w:val="22"/>
              </w:rPr>
            </w:pPr>
            <w:r w:rsidRPr="000F674F">
              <w:rPr>
                <w:rFonts w:ascii="Verdana" w:hAnsi="Verdana"/>
                <w:color w:val="auto"/>
                <w:sz w:val="22"/>
                <w:szCs w:val="22"/>
              </w:rPr>
              <w:t xml:space="preserve">Further development of staff capacity to devise strategies to enable students with special needs to </w:t>
            </w:r>
            <w:r w:rsidRPr="000F674F">
              <w:rPr>
                <w:rFonts w:ascii="Verdana" w:hAnsi="Verdana"/>
                <w:color w:val="auto"/>
                <w:sz w:val="22"/>
                <w:szCs w:val="22"/>
              </w:rPr>
              <w:lastRenderedPageBreak/>
              <w:t>achieve the expected levels of growth.</w:t>
            </w:r>
          </w:p>
          <w:p w:rsidR="00061385" w:rsidRPr="000F674F" w:rsidRDefault="00061385" w:rsidP="00061385">
            <w:pPr>
              <w:pStyle w:val="Table-Entry"/>
              <w:rPr>
                <w:rFonts w:ascii="Verdana" w:hAnsi="Verdana"/>
                <w:color w:val="auto"/>
                <w:sz w:val="22"/>
                <w:szCs w:val="22"/>
              </w:rPr>
            </w:pPr>
          </w:p>
          <w:p w:rsidR="0036493A" w:rsidRPr="000F674F" w:rsidRDefault="0036493A" w:rsidP="009E4721">
            <w:pPr>
              <w:rPr>
                <w:rFonts w:ascii="Verdana" w:hAnsi="Verdana"/>
                <w:highlight w:val="lightGray"/>
              </w:rPr>
            </w:pPr>
          </w:p>
        </w:tc>
        <w:tc>
          <w:tcPr>
            <w:tcW w:w="6615" w:type="dxa"/>
            <w:shd w:val="clear" w:color="auto" w:fill="auto"/>
          </w:tcPr>
          <w:p w:rsidR="00215ED5" w:rsidRPr="000F674F" w:rsidRDefault="00215ED5" w:rsidP="00F816E0">
            <w:pPr>
              <w:pStyle w:val="NoSpacing"/>
              <w:rPr>
                <w:rFonts w:ascii="Verdana" w:hAnsi="Verdana"/>
              </w:rPr>
            </w:pPr>
          </w:p>
          <w:p w:rsidR="00F816E0" w:rsidRPr="000F674F" w:rsidRDefault="00F816E0" w:rsidP="00F816E0">
            <w:pPr>
              <w:pStyle w:val="NoSpacing"/>
              <w:rPr>
                <w:rFonts w:ascii="Verdana" w:hAnsi="Verdana"/>
              </w:rPr>
            </w:pPr>
            <w:r w:rsidRPr="000F674F">
              <w:rPr>
                <w:rFonts w:ascii="Verdana" w:hAnsi="Verdana"/>
              </w:rPr>
              <w:t>To ensure one year growth</w:t>
            </w:r>
          </w:p>
          <w:p w:rsidR="00F816E0" w:rsidRPr="000F674F" w:rsidRDefault="00F816E0" w:rsidP="00F816E0">
            <w:pPr>
              <w:pStyle w:val="NoSpacing"/>
              <w:rPr>
                <w:rFonts w:ascii="Verdana" w:hAnsi="Verdana"/>
              </w:rPr>
            </w:pPr>
            <w:r w:rsidRPr="000F674F">
              <w:rPr>
                <w:rFonts w:ascii="Verdana" w:hAnsi="Verdana"/>
              </w:rPr>
              <w:t>To increase percentage of students in top 2-3 bands and decrease in lower bands.</w:t>
            </w:r>
          </w:p>
          <w:p w:rsidR="00F816E0" w:rsidRPr="000F674F" w:rsidRDefault="00F816E0" w:rsidP="00F816E0">
            <w:pPr>
              <w:pStyle w:val="NoSpacing"/>
              <w:rPr>
                <w:rFonts w:ascii="Verdana" w:hAnsi="Verdana"/>
              </w:rPr>
            </w:pPr>
            <w:r w:rsidRPr="000F674F">
              <w:rPr>
                <w:rFonts w:ascii="Verdana" w:hAnsi="Verdana"/>
              </w:rPr>
              <w:t>Increased percentage of students achieving higher growth.</w:t>
            </w:r>
          </w:p>
          <w:p w:rsidR="00F816E0" w:rsidRPr="000F674F" w:rsidRDefault="00F816E0" w:rsidP="00F816E0">
            <w:pPr>
              <w:pStyle w:val="NoSpacing"/>
              <w:rPr>
                <w:rFonts w:ascii="Verdana" w:hAnsi="Verdana"/>
              </w:rPr>
            </w:pPr>
            <w:r w:rsidRPr="000F674F">
              <w:rPr>
                <w:rFonts w:ascii="Verdana" w:hAnsi="Verdana"/>
              </w:rPr>
              <w:t>To increase VCE mean study score to at least the state mean.</w:t>
            </w:r>
          </w:p>
          <w:p w:rsidR="00F816E0" w:rsidRPr="000F674F" w:rsidRDefault="00F816E0" w:rsidP="00F816E0">
            <w:pPr>
              <w:rPr>
                <w:rFonts w:ascii="Verdana" w:hAnsi="Verdana"/>
                <w:highlight w:val="lightGray"/>
              </w:rPr>
            </w:pPr>
          </w:p>
        </w:tc>
      </w:tr>
      <w:tr w:rsidR="0036493A" w:rsidRPr="000F674F" w:rsidTr="00F11C09">
        <w:trPr>
          <w:trHeight w:val="441"/>
        </w:trPr>
        <w:tc>
          <w:tcPr>
            <w:tcW w:w="6663" w:type="dxa"/>
            <w:shd w:val="clear" w:color="auto" w:fill="auto"/>
          </w:tcPr>
          <w:p w:rsidR="0036493A" w:rsidRPr="000F674F" w:rsidRDefault="009109A7" w:rsidP="00F11C09">
            <w:pPr>
              <w:rPr>
                <w:rFonts w:ascii="Verdana" w:hAnsi="Verdana"/>
                <w:b/>
              </w:rPr>
            </w:pPr>
            <w:r w:rsidRPr="000F674F">
              <w:rPr>
                <w:rFonts w:ascii="Verdana" w:hAnsi="Verdana"/>
                <w:b/>
              </w:rPr>
              <w:t>STUDENT WELLBEING</w:t>
            </w:r>
          </w:p>
          <w:p w:rsidR="009109A7" w:rsidRPr="000F674F" w:rsidRDefault="009109A7" w:rsidP="00F11C09">
            <w:pPr>
              <w:rPr>
                <w:rFonts w:ascii="Verdana" w:hAnsi="Verdana"/>
                <w:b/>
              </w:rPr>
            </w:pPr>
          </w:p>
          <w:p w:rsidR="009109A7" w:rsidRPr="000F674F" w:rsidRDefault="009109A7" w:rsidP="009109A7">
            <w:pPr>
              <w:pStyle w:val="NoSpacing"/>
              <w:rPr>
                <w:rFonts w:ascii="Verdana" w:hAnsi="Verdana"/>
              </w:rPr>
            </w:pPr>
            <w:r w:rsidRPr="000F674F">
              <w:rPr>
                <w:rFonts w:ascii="Verdana" w:hAnsi="Verdana"/>
              </w:rPr>
              <w:t>To develop student agency for managing their behaviour, engagement and learning.</w:t>
            </w:r>
          </w:p>
          <w:p w:rsidR="009109A7" w:rsidRPr="000F674F" w:rsidRDefault="009109A7" w:rsidP="00F11C09">
            <w:pPr>
              <w:rPr>
                <w:rFonts w:ascii="Verdana" w:hAnsi="Verdana"/>
                <w:b/>
                <w:highlight w:val="lightGray"/>
              </w:rPr>
            </w:pPr>
          </w:p>
        </w:tc>
        <w:tc>
          <w:tcPr>
            <w:tcW w:w="2694" w:type="dxa"/>
            <w:shd w:val="clear" w:color="auto" w:fill="auto"/>
          </w:tcPr>
          <w:p w:rsidR="0024097E" w:rsidRPr="000F674F" w:rsidRDefault="0024097E" w:rsidP="0024097E">
            <w:pPr>
              <w:pStyle w:val="Table-Entry"/>
              <w:rPr>
                <w:rFonts w:ascii="Verdana" w:hAnsi="Verdana" w:cstheme="minorHAnsi"/>
                <w:color w:val="auto"/>
                <w:sz w:val="22"/>
                <w:szCs w:val="22"/>
              </w:rPr>
            </w:pPr>
          </w:p>
          <w:p w:rsidR="0024097E" w:rsidRPr="000F674F" w:rsidRDefault="0024097E" w:rsidP="0024097E">
            <w:pPr>
              <w:pStyle w:val="Table-Entry"/>
              <w:rPr>
                <w:rFonts w:ascii="Verdana" w:hAnsi="Verdana" w:cstheme="minorHAnsi"/>
                <w:color w:val="auto"/>
                <w:sz w:val="22"/>
                <w:szCs w:val="22"/>
              </w:rPr>
            </w:pPr>
            <w:r w:rsidRPr="000F674F">
              <w:rPr>
                <w:rFonts w:ascii="Verdana" w:hAnsi="Verdana" w:cstheme="minorHAnsi"/>
                <w:color w:val="auto"/>
                <w:sz w:val="22"/>
                <w:szCs w:val="22"/>
              </w:rPr>
              <w:t>Positive climate for change</w:t>
            </w:r>
          </w:p>
          <w:p w:rsidR="0036493A" w:rsidRPr="000F674F" w:rsidRDefault="0036493A" w:rsidP="00F11C09">
            <w:pPr>
              <w:rPr>
                <w:rFonts w:ascii="Verdana" w:hAnsi="Verdana"/>
                <w:b/>
              </w:rPr>
            </w:pPr>
          </w:p>
        </w:tc>
        <w:tc>
          <w:tcPr>
            <w:tcW w:w="6615" w:type="dxa"/>
            <w:shd w:val="clear" w:color="auto" w:fill="auto"/>
          </w:tcPr>
          <w:p w:rsidR="009109A7" w:rsidRPr="000F674F" w:rsidRDefault="009109A7" w:rsidP="009109A7">
            <w:pPr>
              <w:pStyle w:val="NoSpacing"/>
              <w:rPr>
                <w:rFonts w:ascii="Verdana" w:hAnsi="Verdana"/>
              </w:rPr>
            </w:pPr>
            <w:r w:rsidRPr="000F674F">
              <w:rPr>
                <w:rFonts w:ascii="Verdana" w:hAnsi="Verdana"/>
              </w:rPr>
              <w:t>Involve all key stakeholders in a review of the student management processes and procedures and ensure the agreed process is implemented consistently school wide.</w:t>
            </w:r>
          </w:p>
          <w:p w:rsidR="009109A7" w:rsidRPr="000F674F" w:rsidRDefault="009109A7" w:rsidP="009109A7">
            <w:pPr>
              <w:pStyle w:val="NoSpacing"/>
              <w:rPr>
                <w:rFonts w:ascii="Verdana" w:hAnsi="Verdana"/>
              </w:rPr>
            </w:pPr>
          </w:p>
          <w:p w:rsidR="009109A7" w:rsidRPr="000F674F" w:rsidRDefault="009109A7" w:rsidP="009109A7">
            <w:pPr>
              <w:pStyle w:val="NoSpacing"/>
              <w:rPr>
                <w:rFonts w:ascii="Verdana" w:hAnsi="Verdana"/>
              </w:rPr>
            </w:pPr>
          </w:p>
          <w:p w:rsidR="009109A7" w:rsidRPr="000F674F" w:rsidRDefault="009109A7" w:rsidP="009109A7">
            <w:pPr>
              <w:pStyle w:val="NoSpacing"/>
              <w:numPr>
                <w:ilvl w:val="0"/>
                <w:numId w:val="2"/>
              </w:numPr>
              <w:rPr>
                <w:rFonts w:ascii="Verdana" w:hAnsi="Verdana"/>
              </w:rPr>
            </w:pPr>
            <w:r w:rsidRPr="000F674F">
              <w:rPr>
                <w:rFonts w:ascii="Verdana" w:hAnsi="Verdana"/>
              </w:rPr>
              <w:t>Enhancing staff capacity in addressing challenging behaviours and engaging all students.</w:t>
            </w:r>
          </w:p>
          <w:p w:rsidR="009109A7" w:rsidRPr="000F674F" w:rsidRDefault="009109A7" w:rsidP="009109A7">
            <w:pPr>
              <w:pStyle w:val="NoSpacing"/>
              <w:ind w:left="709"/>
              <w:rPr>
                <w:rFonts w:ascii="Verdana" w:hAnsi="Verdana"/>
              </w:rPr>
            </w:pPr>
          </w:p>
          <w:p w:rsidR="009109A7" w:rsidRPr="000F674F" w:rsidRDefault="009109A7" w:rsidP="009109A7">
            <w:pPr>
              <w:rPr>
                <w:rFonts w:ascii="Verdana" w:hAnsi="Verdana"/>
                <w:color w:val="FF0000"/>
              </w:rPr>
            </w:pPr>
          </w:p>
          <w:p w:rsidR="009109A7" w:rsidRPr="000F674F" w:rsidRDefault="009109A7" w:rsidP="009109A7">
            <w:pPr>
              <w:pStyle w:val="NoSpacing"/>
              <w:numPr>
                <w:ilvl w:val="0"/>
                <w:numId w:val="2"/>
              </w:numPr>
              <w:rPr>
                <w:rFonts w:ascii="Verdana" w:hAnsi="Verdana"/>
              </w:rPr>
            </w:pPr>
            <w:r w:rsidRPr="000F674F">
              <w:rPr>
                <w:rFonts w:ascii="Verdana" w:hAnsi="Verdana"/>
              </w:rPr>
              <w:t>Investigating models of schoolwide behaviour management to enhance staff and student capacity in developing positive learning and behaviours.</w:t>
            </w:r>
          </w:p>
          <w:p w:rsidR="009109A7" w:rsidRPr="000F674F" w:rsidRDefault="009109A7" w:rsidP="009109A7">
            <w:pPr>
              <w:rPr>
                <w:rFonts w:ascii="Verdana" w:hAnsi="Verdana"/>
              </w:rPr>
            </w:pPr>
          </w:p>
          <w:p w:rsidR="0036493A" w:rsidRPr="00825AD8" w:rsidRDefault="009109A7" w:rsidP="00825AD8">
            <w:pPr>
              <w:pStyle w:val="ListParagraph"/>
              <w:numPr>
                <w:ilvl w:val="0"/>
                <w:numId w:val="2"/>
              </w:numPr>
              <w:rPr>
                <w:rFonts w:ascii="Verdana" w:hAnsi="Verdana"/>
                <w:highlight w:val="lightGray"/>
              </w:rPr>
            </w:pPr>
            <w:r w:rsidRPr="00825AD8">
              <w:rPr>
                <w:rFonts w:ascii="Verdana" w:hAnsi="Verdana"/>
              </w:rPr>
              <w:t>Continuing current programs that support student engagement and wellbeing.</w:t>
            </w:r>
          </w:p>
        </w:tc>
        <w:tc>
          <w:tcPr>
            <w:tcW w:w="6615" w:type="dxa"/>
            <w:shd w:val="clear" w:color="auto" w:fill="auto"/>
          </w:tcPr>
          <w:p w:rsidR="009109A7" w:rsidRPr="000F674F" w:rsidRDefault="009109A7" w:rsidP="009109A7">
            <w:pPr>
              <w:pStyle w:val="NoSpacing"/>
              <w:rPr>
                <w:rFonts w:ascii="Verdana" w:hAnsi="Verdana"/>
              </w:rPr>
            </w:pPr>
            <w:r w:rsidRPr="000F674F">
              <w:rPr>
                <w:rFonts w:ascii="Verdana" w:hAnsi="Verdana"/>
              </w:rPr>
              <w:t>To increase student attitude to school survey to above the state mean with regards to classroom behaviour.</w:t>
            </w:r>
          </w:p>
          <w:p w:rsidR="009109A7" w:rsidRPr="000F674F" w:rsidRDefault="009109A7" w:rsidP="009109A7">
            <w:pPr>
              <w:pStyle w:val="NoSpacing"/>
              <w:tabs>
                <w:tab w:val="left" w:pos="990"/>
              </w:tabs>
              <w:rPr>
                <w:rFonts w:ascii="Verdana" w:hAnsi="Verdana"/>
              </w:rPr>
            </w:pPr>
            <w:r w:rsidRPr="000F674F">
              <w:rPr>
                <w:rFonts w:ascii="Verdana" w:hAnsi="Verdana"/>
              </w:rPr>
              <w:tab/>
            </w:r>
          </w:p>
          <w:p w:rsidR="009109A7" w:rsidRPr="000F674F" w:rsidRDefault="009109A7" w:rsidP="009109A7">
            <w:pPr>
              <w:pStyle w:val="NoSpacing"/>
              <w:rPr>
                <w:rFonts w:ascii="Verdana" w:hAnsi="Verdana"/>
              </w:rPr>
            </w:pPr>
            <w:r w:rsidRPr="000F674F">
              <w:rPr>
                <w:rFonts w:ascii="Verdana" w:hAnsi="Verdana"/>
              </w:rPr>
              <w:t>To maintain the student attitude to school survey wellbeing measures at or above their current level.</w:t>
            </w:r>
          </w:p>
          <w:p w:rsidR="009109A7" w:rsidRPr="000F674F" w:rsidRDefault="009109A7" w:rsidP="009109A7">
            <w:pPr>
              <w:pStyle w:val="NoSpacing"/>
              <w:rPr>
                <w:rFonts w:ascii="Verdana" w:hAnsi="Verdana"/>
              </w:rPr>
            </w:pPr>
          </w:p>
          <w:p w:rsidR="0036493A" w:rsidRPr="000F674F" w:rsidRDefault="0036493A" w:rsidP="00215ED5">
            <w:pPr>
              <w:pStyle w:val="NoSpacing"/>
              <w:rPr>
                <w:rFonts w:ascii="Verdana" w:hAnsi="Verdana"/>
                <w:highlight w:val="lightGray"/>
              </w:rPr>
            </w:pPr>
          </w:p>
        </w:tc>
      </w:tr>
      <w:tr w:rsidR="0036493A" w:rsidRPr="000F674F" w:rsidTr="00F11C09">
        <w:trPr>
          <w:trHeight w:val="441"/>
        </w:trPr>
        <w:tc>
          <w:tcPr>
            <w:tcW w:w="6663" w:type="dxa"/>
            <w:shd w:val="clear" w:color="auto" w:fill="auto"/>
          </w:tcPr>
          <w:p w:rsidR="0036493A" w:rsidRPr="000F674F" w:rsidRDefault="0024097E" w:rsidP="00F11C09">
            <w:pPr>
              <w:rPr>
                <w:rFonts w:ascii="Verdana" w:hAnsi="Verdana"/>
                <w:b/>
              </w:rPr>
            </w:pPr>
            <w:r w:rsidRPr="000F674F">
              <w:rPr>
                <w:rFonts w:ascii="Verdana" w:hAnsi="Verdana"/>
                <w:b/>
              </w:rPr>
              <w:t>STUDENT ENGAGEMENT</w:t>
            </w:r>
          </w:p>
          <w:p w:rsidR="0036493A" w:rsidRPr="000F674F" w:rsidRDefault="00CB15A5" w:rsidP="00F11C09">
            <w:pPr>
              <w:rPr>
                <w:rFonts w:ascii="Verdana" w:hAnsi="Verdana"/>
                <w:b/>
              </w:rPr>
            </w:pPr>
            <w:r w:rsidRPr="000F674F">
              <w:rPr>
                <w:rFonts w:ascii="Verdana" w:hAnsi="Verdana"/>
              </w:rPr>
              <w:t>To develop student agency for managing their behaviour, engagement and learning</w:t>
            </w: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p w:rsidR="0024097E" w:rsidRPr="000F674F" w:rsidRDefault="0024097E" w:rsidP="00F11C09">
            <w:pPr>
              <w:rPr>
                <w:rFonts w:ascii="Verdana" w:hAnsi="Verdana"/>
                <w:b/>
                <w:highlight w:val="lightGray"/>
              </w:rPr>
            </w:pPr>
          </w:p>
        </w:tc>
        <w:tc>
          <w:tcPr>
            <w:tcW w:w="2694" w:type="dxa"/>
            <w:shd w:val="clear" w:color="auto" w:fill="auto"/>
          </w:tcPr>
          <w:p w:rsidR="0036493A" w:rsidRPr="000F674F" w:rsidRDefault="0036493A" w:rsidP="0024097E">
            <w:pPr>
              <w:rPr>
                <w:rFonts w:ascii="Verdana" w:hAnsi="Verdana"/>
                <w:b/>
              </w:rPr>
            </w:pPr>
          </w:p>
        </w:tc>
        <w:tc>
          <w:tcPr>
            <w:tcW w:w="6615" w:type="dxa"/>
            <w:shd w:val="clear" w:color="auto" w:fill="auto"/>
          </w:tcPr>
          <w:p w:rsidR="0036493A" w:rsidRPr="000F674F" w:rsidRDefault="0036493A" w:rsidP="0024097E">
            <w:pPr>
              <w:rPr>
                <w:rFonts w:ascii="Verdana" w:hAnsi="Verdana"/>
                <w:highlight w:val="lightGray"/>
              </w:rPr>
            </w:pPr>
          </w:p>
          <w:p w:rsidR="00215ED5" w:rsidRPr="000F674F" w:rsidRDefault="00215ED5" w:rsidP="00215ED5">
            <w:pPr>
              <w:pStyle w:val="NoSpacing"/>
              <w:numPr>
                <w:ilvl w:val="0"/>
                <w:numId w:val="2"/>
              </w:numPr>
              <w:rPr>
                <w:rFonts w:ascii="Verdana" w:hAnsi="Verdana"/>
              </w:rPr>
            </w:pPr>
            <w:r w:rsidRPr="000F674F">
              <w:rPr>
                <w:rFonts w:ascii="Verdana" w:hAnsi="Verdana"/>
              </w:rPr>
              <w:t>Utilising student voice to inform improvement of teacher practice.</w:t>
            </w:r>
          </w:p>
          <w:p w:rsidR="00215ED5" w:rsidRPr="000F674F" w:rsidRDefault="00215ED5" w:rsidP="00215ED5">
            <w:pPr>
              <w:pStyle w:val="NoSpacing"/>
              <w:ind w:left="709"/>
              <w:rPr>
                <w:rFonts w:ascii="Verdana" w:hAnsi="Verdana"/>
              </w:rPr>
            </w:pPr>
          </w:p>
          <w:p w:rsidR="00215ED5" w:rsidRPr="000F674F" w:rsidRDefault="00215ED5" w:rsidP="00215ED5">
            <w:pPr>
              <w:pStyle w:val="NoSpacing"/>
              <w:numPr>
                <w:ilvl w:val="0"/>
                <w:numId w:val="2"/>
              </w:numPr>
              <w:rPr>
                <w:rFonts w:ascii="Verdana" w:hAnsi="Verdana"/>
              </w:rPr>
            </w:pPr>
            <w:r w:rsidRPr="000F674F">
              <w:rPr>
                <w:rFonts w:ascii="Verdana" w:hAnsi="Verdana"/>
              </w:rPr>
              <w:t>Investigating different models of curriculum delivery to enhance student choice and engagement.</w:t>
            </w:r>
          </w:p>
          <w:p w:rsidR="00215ED5" w:rsidRPr="000F674F" w:rsidRDefault="00215ED5" w:rsidP="0024097E">
            <w:pPr>
              <w:rPr>
                <w:rFonts w:ascii="Verdana" w:hAnsi="Verdana"/>
                <w:highlight w:val="lightGray"/>
              </w:rPr>
            </w:pPr>
          </w:p>
        </w:tc>
        <w:tc>
          <w:tcPr>
            <w:tcW w:w="6615" w:type="dxa"/>
            <w:shd w:val="clear" w:color="auto" w:fill="auto"/>
          </w:tcPr>
          <w:p w:rsidR="00215ED5" w:rsidRPr="000F674F" w:rsidRDefault="00215ED5" w:rsidP="00215ED5">
            <w:pPr>
              <w:pStyle w:val="NoSpacing"/>
              <w:rPr>
                <w:rFonts w:ascii="Verdana" w:hAnsi="Verdana"/>
                <w:highlight w:val="lightGray"/>
              </w:rPr>
            </w:pPr>
          </w:p>
          <w:p w:rsidR="00215ED5" w:rsidRPr="000F674F" w:rsidRDefault="00215ED5" w:rsidP="00215ED5">
            <w:pPr>
              <w:pStyle w:val="NoSpacing"/>
              <w:rPr>
                <w:rFonts w:ascii="Verdana" w:hAnsi="Verdana"/>
              </w:rPr>
            </w:pPr>
            <w:r w:rsidRPr="000F674F">
              <w:rPr>
                <w:rFonts w:ascii="Verdana" w:hAnsi="Verdana"/>
              </w:rPr>
              <w:t>A  target relating to year 8 and 9 engagement, including gender difference,  could be developed by the school</w:t>
            </w:r>
          </w:p>
          <w:p w:rsidR="0036493A" w:rsidRPr="000F674F" w:rsidRDefault="0036493A" w:rsidP="0024097E">
            <w:pPr>
              <w:rPr>
                <w:rFonts w:ascii="Verdana" w:hAnsi="Verdana"/>
                <w:highlight w:val="lightGray"/>
              </w:rPr>
            </w:pPr>
          </w:p>
        </w:tc>
      </w:tr>
    </w:tbl>
    <w:p w:rsidR="0036493A" w:rsidRPr="000F674F" w:rsidRDefault="0036493A" w:rsidP="0036493A">
      <w:pPr>
        <w:tabs>
          <w:tab w:val="left" w:pos="1875"/>
        </w:tabs>
        <w:rPr>
          <w:rFonts w:ascii="Verdana" w:hAnsi="Verdana"/>
        </w:rPr>
      </w:pPr>
    </w:p>
    <w:p w:rsidR="00BC2D20" w:rsidRPr="000F674F" w:rsidRDefault="00BC2D20">
      <w:pPr>
        <w:rPr>
          <w:rFonts w:ascii="Verdana" w:hAnsi="Verdana"/>
        </w:rPr>
      </w:pPr>
    </w:p>
    <w:sectPr w:rsidR="00BC2D20" w:rsidRPr="000F674F" w:rsidSect="00CC615B">
      <w:headerReference w:type="default" r:id="rId7"/>
      <w:footerReference w:type="default" r:id="rId8"/>
      <w:pgSz w:w="23814" w:h="16839" w:orient="landscape" w:code="8"/>
      <w:pgMar w:top="993" w:right="1440" w:bottom="1440" w:left="1440" w:header="708" w:footer="708" w:gutter="0"/>
      <w:cols w:space="8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25C" w:rsidRDefault="0004125C">
      <w:r>
        <w:separator/>
      </w:r>
    </w:p>
  </w:endnote>
  <w:endnote w:type="continuationSeparator" w:id="0">
    <w:p w:rsidR="0004125C" w:rsidRDefault="0004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440" w:rsidRDefault="0036493A" w:rsidP="00FD51B4">
    <w:pPr>
      <w:pStyle w:val="Footer"/>
      <w:tabs>
        <w:tab w:val="clear" w:pos="9026"/>
        <w:tab w:val="right" w:pos="12616"/>
      </w:tabs>
    </w:pPr>
    <w:r>
      <w:rPr>
        <w:noProof/>
        <w:lang w:eastAsia="en-AU"/>
      </w:rPr>
      <w:drawing>
        <wp:anchor distT="0" distB="0" distL="114300" distR="114300" simplePos="0" relativeHeight="251656192" behindDoc="1" locked="0" layoutInCell="1" allowOverlap="1" wp14:anchorId="17F2A2D1" wp14:editId="525CFB20">
          <wp:simplePos x="0" y="0"/>
          <wp:positionH relativeFrom="column">
            <wp:posOffset>12551410</wp:posOffset>
          </wp:positionH>
          <wp:positionV relativeFrom="paragraph">
            <wp:posOffset>-304800</wp:posOffset>
          </wp:positionV>
          <wp:extent cx="1314450" cy="734695"/>
          <wp:effectExtent l="0" t="0" r="0" b="8255"/>
          <wp:wrapThrough wrapText="bothSides">
            <wp:wrapPolygon edited="0">
              <wp:start x="0" y="0"/>
              <wp:lineTo x="0" y="21283"/>
              <wp:lineTo x="21287" y="21283"/>
              <wp:lineTo x="21287" y="0"/>
              <wp:lineTo x="0" y="0"/>
            </wp:wrapPolygon>
          </wp:wrapThrough>
          <wp:docPr id="19" name="Picture 19" descr="C:\Users\08723594\AppData\Local\Microsoft\Windows\Temporary Internet Files\Content.Outlook\IAL3SQCQ\stagegov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8723594\AppData\Local\Microsoft\Windows\Temporary Internet Files\Content.Outlook\IAL3SQCQ\stagegov 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469C">
      <w:rPr>
        <w:noProof/>
        <w:lang w:eastAsia="en-AU"/>
      </w:rPr>
      <mc:AlternateContent>
        <mc:Choice Requires="wps">
          <w:drawing>
            <wp:anchor distT="45720" distB="45720" distL="114300" distR="114300" simplePos="0" relativeHeight="251658240" behindDoc="1" locked="0" layoutInCell="1" allowOverlap="1" wp14:anchorId="541AD43D" wp14:editId="244D0B4B">
              <wp:simplePos x="0" y="0"/>
              <wp:positionH relativeFrom="column">
                <wp:posOffset>622300</wp:posOffset>
              </wp:positionH>
              <wp:positionV relativeFrom="paragraph">
                <wp:posOffset>17145</wp:posOffset>
              </wp:positionV>
              <wp:extent cx="3194050" cy="3289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328930"/>
                      </a:xfrm>
                      <a:prstGeom prst="rect">
                        <a:avLst/>
                      </a:prstGeom>
                      <a:solidFill>
                        <a:srgbClr val="FFFFFF"/>
                      </a:solidFill>
                      <a:ln w="9525">
                        <a:noFill/>
                        <a:miter lim="800000"/>
                        <a:headEnd/>
                        <a:tailEnd/>
                      </a:ln>
                    </wps:spPr>
                    <wps:txbx>
                      <w:txbxContent>
                        <w:p w:rsidR="000A469C" w:rsidRPr="000A469C" w:rsidRDefault="0036493A" w:rsidP="000A469C">
                          <w:pPr>
                            <w:rPr>
                              <w:color w:val="9BBB59" w:themeColor="accent3"/>
                              <w:sz w:val="24"/>
                              <w:szCs w:val="16"/>
                            </w:rPr>
                          </w:pPr>
                          <w:r w:rsidRPr="000A469C">
                            <w:rPr>
                              <w:color w:val="9BBB59" w:themeColor="accent3"/>
                              <w:sz w:val="24"/>
                              <w:szCs w:val="16"/>
                            </w:rPr>
                            <w:t>Framework for Improving Student Outcomes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1AD43D" id="_x0000_t202" coordsize="21600,21600" o:spt="202" path="m,l,21600r21600,l21600,xe">
              <v:stroke joinstyle="miter"/>
              <v:path gradientshapeok="t" o:connecttype="rect"/>
            </v:shapetype>
            <v:shape id="Text Box 2" o:spid="_x0000_s1026" type="#_x0000_t202" style="position:absolute;margin-left:49pt;margin-top:1.35pt;width:251.5pt;height:25.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IAIAAB0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" stroked="f">
              <v:textbox style="mso-fit-shape-to-text:t">
                <w:txbxContent>
                  <w:p w:rsidR="000A469C" w:rsidRPr="000A469C" w:rsidRDefault="0036493A" w:rsidP="000A469C">
                    <w:pPr>
                      <w:rPr>
                        <w:color w:val="9BBB59" w:themeColor="accent3"/>
                        <w:sz w:val="24"/>
                        <w:szCs w:val="16"/>
                      </w:rPr>
                    </w:pPr>
                    <w:r w:rsidRPr="000A469C">
                      <w:rPr>
                        <w:color w:val="9BBB59" w:themeColor="accent3"/>
                        <w:sz w:val="24"/>
                        <w:szCs w:val="16"/>
                      </w:rPr>
                      <w:t>Framework for Improving Student Outcomes</w:t>
                    </w:r>
                  </w:p>
                </w:txbxContent>
              </v:textbox>
            </v:shape>
          </w:pict>
        </mc:Fallback>
      </mc:AlternateContent>
    </w:r>
    <w:r w:rsidRPr="000A469C">
      <w:rPr>
        <w:noProof/>
        <w:lang w:eastAsia="en-AU"/>
      </w:rPr>
      <w:drawing>
        <wp:anchor distT="0" distB="0" distL="114300" distR="114300" simplePos="0" relativeHeight="251657216" behindDoc="1" locked="0" layoutInCell="1" allowOverlap="1" wp14:anchorId="3AB6FBA3" wp14:editId="18E06952">
          <wp:simplePos x="0" y="0"/>
          <wp:positionH relativeFrom="column">
            <wp:posOffset>-450215</wp:posOffset>
          </wp:positionH>
          <wp:positionV relativeFrom="paragraph">
            <wp:posOffset>-659130</wp:posOffset>
          </wp:positionV>
          <wp:extent cx="996950" cy="995680"/>
          <wp:effectExtent l="0" t="0" r="0" b="0"/>
          <wp:wrapNone/>
          <wp:docPr id="23" name="Picture 23" descr="D:\Users\09026298\Desktop\mod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09026298\Desktop\model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6950" cy="99568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Published: February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25C" w:rsidRDefault="0004125C">
      <w:r>
        <w:separator/>
      </w:r>
    </w:p>
  </w:footnote>
  <w:footnote w:type="continuationSeparator" w:id="0">
    <w:p w:rsidR="0004125C" w:rsidRDefault="00041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87800"/>
      <w:docPartObj>
        <w:docPartGallery w:val="Watermarks"/>
        <w:docPartUnique/>
      </w:docPartObj>
    </w:sdtPr>
    <w:sdtEndPr/>
    <w:sdtContent>
      <w:p w:rsidR="004725D1" w:rsidRDefault="00B74D86">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171"/>
    <w:multiLevelType w:val="hybridMultilevel"/>
    <w:tmpl w:val="B08A0B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7B76E9"/>
    <w:multiLevelType w:val="hybridMultilevel"/>
    <w:tmpl w:val="1BAE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3591A"/>
    <w:multiLevelType w:val="hybridMultilevel"/>
    <w:tmpl w:val="ECCE1BE6"/>
    <w:lvl w:ilvl="0" w:tplc="CAACA62A">
      <w:start w:val="1"/>
      <w:numFmt w:val="bullet"/>
      <w:lvlText w:val="•"/>
      <w:lvlJc w:val="left"/>
      <w:pPr>
        <w:tabs>
          <w:tab w:val="num" w:pos="720"/>
        </w:tabs>
        <w:ind w:left="720" w:hanging="360"/>
      </w:pPr>
      <w:rPr>
        <w:rFonts w:ascii="Arial" w:hAnsi="Arial" w:hint="default"/>
      </w:rPr>
    </w:lvl>
    <w:lvl w:ilvl="1" w:tplc="0616F804" w:tentative="1">
      <w:start w:val="1"/>
      <w:numFmt w:val="bullet"/>
      <w:lvlText w:val="•"/>
      <w:lvlJc w:val="left"/>
      <w:pPr>
        <w:tabs>
          <w:tab w:val="num" w:pos="1440"/>
        </w:tabs>
        <w:ind w:left="1440" w:hanging="360"/>
      </w:pPr>
      <w:rPr>
        <w:rFonts w:ascii="Arial" w:hAnsi="Arial" w:hint="default"/>
      </w:rPr>
    </w:lvl>
    <w:lvl w:ilvl="2" w:tplc="65F4CE8C" w:tentative="1">
      <w:start w:val="1"/>
      <w:numFmt w:val="bullet"/>
      <w:lvlText w:val="•"/>
      <w:lvlJc w:val="left"/>
      <w:pPr>
        <w:tabs>
          <w:tab w:val="num" w:pos="2160"/>
        </w:tabs>
        <w:ind w:left="2160" w:hanging="360"/>
      </w:pPr>
      <w:rPr>
        <w:rFonts w:ascii="Arial" w:hAnsi="Arial" w:hint="default"/>
      </w:rPr>
    </w:lvl>
    <w:lvl w:ilvl="3" w:tplc="49D60C18" w:tentative="1">
      <w:start w:val="1"/>
      <w:numFmt w:val="bullet"/>
      <w:lvlText w:val="•"/>
      <w:lvlJc w:val="left"/>
      <w:pPr>
        <w:tabs>
          <w:tab w:val="num" w:pos="2880"/>
        </w:tabs>
        <w:ind w:left="2880" w:hanging="360"/>
      </w:pPr>
      <w:rPr>
        <w:rFonts w:ascii="Arial" w:hAnsi="Arial" w:hint="default"/>
      </w:rPr>
    </w:lvl>
    <w:lvl w:ilvl="4" w:tplc="54A24EC0" w:tentative="1">
      <w:start w:val="1"/>
      <w:numFmt w:val="bullet"/>
      <w:lvlText w:val="•"/>
      <w:lvlJc w:val="left"/>
      <w:pPr>
        <w:tabs>
          <w:tab w:val="num" w:pos="3600"/>
        </w:tabs>
        <w:ind w:left="3600" w:hanging="360"/>
      </w:pPr>
      <w:rPr>
        <w:rFonts w:ascii="Arial" w:hAnsi="Arial" w:hint="default"/>
      </w:rPr>
    </w:lvl>
    <w:lvl w:ilvl="5" w:tplc="9B8E2C14" w:tentative="1">
      <w:start w:val="1"/>
      <w:numFmt w:val="bullet"/>
      <w:lvlText w:val="•"/>
      <w:lvlJc w:val="left"/>
      <w:pPr>
        <w:tabs>
          <w:tab w:val="num" w:pos="4320"/>
        </w:tabs>
        <w:ind w:left="4320" w:hanging="360"/>
      </w:pPr>
      <w:rPr>
        <w:rFonts w:ascii="Arial" w:hAnsi="Arial" w:hint="default"/>
      </w:rPr>
    </w:lvl>
    <w:lvl w:ilvl="6" w:tplc="6EE6095E" w:tentative="1">
      <w:start w:val="1"/>
      <w:numFmt w:val="bullet"/>
      <w:lvlText w:val="•"/>
      <w:lvlJc w:val="left"/>
      <w:pPr>
        <w:tabs>
          <w:tab w:val="num" w:pos="5040"/>
        </w:tabs>
        <w:ind w:left="5040" w:hanging="360"/>
      </w:pPr>
      <w:rPr>
        <w:rFonts w:ascii="Arial" w:hAnsi="Arial" w:hint="default"/>
      </w:rPr>
    </w:lvl>
    <w:lvl w:ilvl="7" w:tplc="B86C9D1E" w:tentative="1">
      <w:start w:val="1"/>
      <w:numFmt w:val="bullet"/>
      <w:lvlText w:val="•"/>
      <w:lvlJc w:val="left"/>
      <w:pPr>
        <w:tabs>
          <w:tab w:val="num" w:pos="5760"/>
        </w:tabs>
        <w:ind w:left="5760" w:hanging="360"/>
      </w:pPr>
      <w:rPr>
        <w:rFonts w:ascii="Arial" w:hAnsi="Arial" w:hint="default"/>
      </w:rPr>
    </w:lvl>
    <w:lvl w:ilvl="8" w:tplc="197E6E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064049"/>
    <w:multiLevelType w:val="hybridMultilevel"/>
    <w:tmpl w:val="F0466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6F3D0A"/>
    <w:multiLevelType w:val="hybridMultilevel"/>
    <w:tmpl w:val="B3008BEE"/>
    <w:lvl w:ilvl="0" w:tplc="04090001">
      <w:start w:val="1"/>
      <w:numFmt w:val="bullet"/>
      <w:lvlText w:val=""/>
      <w:lvlJc w:val="left"/>
      <w:pPr>
        <w:ind w:left="565" w:hanging="360"/>
      </w:pPr>
      <w:rPr>
        <w:rFonts w:ascii="Symbol" w:hAnsi="Symbol" w:hint="default"/>
      </w:rPr>
    </w:lvl>
    <w:lvl w:ilvl="1" w:tplc="04090003">
      <w:start w:val="1"/>
      <w:numFmt w:val="bullet"/>
      <w:lvlText w:val="o"/>
      <w:lvlJc w:val="left"/>
      <w:pPr>
        <w:ind w:left="1285" w:hanging="360"/>
      </w:pPr>
      <w:rPr>
        <w:rFonts w:ascii="Courier New" w:hAnsi="Courier New" w:cs="Courier New" w:hint="default"/>
      </w:rPr>
    </w:lvl>
    <w:lvl w:ilvl="2" w:tplc="04090005" w:tentative="1">
      <w:start w:val="1"/>
      <w:numFmt w:val="bullet"/>
      <w:lvlText w:val=""/>
      <w:lvlJc w:val="left"/>
      <w:pPr>
        <w:ind w:left="2005" w:hanging="360"/>
      </w:pPr>
      <w:rPr>
        <w:rFonts w:ascii="Wingdings" w:hAnsi="Wingdings" w:hint="default"/>
      </w:rPr>
    </w:lvl>
    <w:lvl w:ilvl="3" w:tplc="04090001" w:tentative="1">
      <w:start w:val="1"/>
      <w:numFmt w:val="bullet"/>
      <w:lvlText w:val=""/>
      <w:lvlJc w:val="left"/>
      <w:pPr>
        <w:ind w:left="2725" w:hanging="360"/>
      </w:pPr>
      <w:rPr>
        <w:rFonts w:ascii="Symbol" w:hAnsi="Symbol" w:hint="default"/>
      </w:rPr>
    </w:lvl>
    <w:lvl w:ilvl="4" w:tplc="04090003" w:tentative="1">
      <w:start w:val="1"/>
      <w:numFmt w:val="bullet"/>
      <w:lvlText w:val="o"/>
      <w:lvlJc w:val="left"/>
      <w:pPr>
        <w:ind w:left="3445" w:hanging="360"/>
      </w:pPr>
      <w:rPr>
        <w:rFonts w:ascii="Courier New" w:hAnsi="Courier New" w:cs="Courier New" w:hint="default"/>
      </w:rPr>
    </w:lvl>
    <w:lvl w:ilvl="5" w:tplc="04090005" w:tentative="1">
      <w:start w:val="1"/>
      <w:numFmt w:val="bullet"/>
      <w:lvlText w:val=""/>
      <w:lvlJc w:val="left"/>
      <w:pPr>
        <w:ind w:left="4165" w:hanging="360"/>
      </w:pPr>
      <w:rPr>
        <w:rFonts w:ascii="Wingdings" w:hAnsi="Wingdings" w:hint="default"/>
      </w:rPr>
    </w:lvl>
    <w:lvl w:ilvl="6" w:tplc="04090001" w:tentative="1">
      <w:start w:val="1"/>
      <w:numFmt w:val="bullet"/>
      <w:lvlText w:val=""/>
      <w:lvlJc w:val="left"/>
      <w:pPr>
        <w:ind w:left="4885" w:hanging="360"/>
      </w:pPr>
      <w:rPr>
        <w:rFonts w:ascii="Symbol" w:hAnsi="Symbol" w:hint="default"/>
      </w:rPr>
    </w:lvl>
    <w:lvl w:ilvl="7" w:tplc="04090003" w:tentative="1">
      <w:start w:val="1"/>
      <w:numFmt w:val="bullet"/>
      <w:lvlText w:val="o"/>
      <w:lvlJc w:val="left"/>
      <w:pPr>
        <w:ind w:left="5605" w:hanging="360"/>
      </w:pPr>
      <w:rPr>
        <w:rFonts w:ascii="Courier New" w:hAnsi="Courier New" w:cs="Courier New" w:hint="default"/>
      </w:rPr>
    </w:lvl>
    <w:lvl w:ilvl="8" w:tplc="04090005" w:tentative="1">
      <w:start w:val="1"/>
      <w:numFmt w:val="bullet"/>
      <w:lvlText w:val=""/>
      <w:lvlJc w:val="left"/>
      <w:pPr>
        <w:ind w:left="6325" w:hanging="360"/>
      </w:pPr>
      <w:rPr>
        <w:rFonts w:ascii="Wingdings" w:hAnsi="Wingdings" w:hint="default"/>
      </w:rPr>
    </w:lvl>
  </w:abstractNum>
  <w:abstractNum w:abstractNumId="5" w15:restartNumberingAfterBreak="0">
    <w:nsid w:val="600B5022"/>
    <w:multiLevelType w:val="hybridMultilevel"/>
    <w:tmpl w:val="EC701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EC"/>
    <w:rsid w:val="0004125C"/>
    <w:rsid w:val="00061385"/>
    <w:rsid w:val="000646EC"/>
    <w:rsid w:val="0009387E"/>
    <w:rsid w:val="000B7515"/>
    <w:rsid w:val="000F674F"/>
    <w:rsid w:val="001A54D8"/>
    <w:rsid w:val="00215ED5"/>
    <w:rsid w:val="0024097E"/>
    <w:rsid w:val="00260A9B"/>
    <w:rsid w:val="00336A87"/>
    <w:rsid w:val="0036493A"/>
    <w:rsid w:val="00405DEC"/>
    <w:rsid w:val="004077C3"/>
    <w:rsid w:val="00433C33"/>
    <w:rsid w:val="00492755"/>
    <w:rsid w:val="004A5B3C"/>
    <w:rsid w:val="00533FE4"/>
    <w:rsid w:val="005A0975"/>
    <w:rsid w:val="00667729"/>
    <w:rsid w:val="00671AC9"/>
    <w:rsid w:val="006C5BB7"/>
    <w:rsid w:val="006E1EF6"/>
    <w:rsid w:val="00700C94"/>
    <w:rsid w:val="00753A8E"/>
    <w:rsid w:val="007E5B43"/>
    <w:rsid w:val="008167EE"/>
    <w:rsid w:val="00825AD8"/>
    <w:rsid w:val="00857FE5"/>
    <w:rsid w:val="009109A7"/>
    <w:rsid w:val="00967CAA"/>
    <w:rsid w:val="009E4721"/>
    <w:rsid w:val="00A175AA"/>
    <w:rsid w:val="00A25217"/>
    <w:rsid w:val="00A63CE2"/>
    <w:rsid w:val="00A96908"/>
    <w:rsid w:val="00AE6BF0"/>
    <w:rsid w:val="00B15291"/>
    <w:rsid w:val="00B429CF"/>
    <w:rsid w:val="00B74D86"/>
    <w:rsid w:val="00B81FE9"/>
    <w:rsid w:val="00BC1D33"/>
    <w:rsid w:val="00BC2D20"/>
    <w:rsid w:val="00C00EF5"/>
    <w:rsid w:val="00C06EDB"/>
    <w:rsid w:val="00C122D6"/>
    <w:rsid w:val="00C67D1C"/>
    <w:rsid w:val="00CA0A61"/>
    <w:rsid w:val="00CB15A5"/>
    <w:rsid w:val="00CC6061"/>
    <w:rsid w:val="00CD7112"/>
    <w:rsid w:val="00D54362"/>
    <w:rsid w:val="00ED2C85"/>
    <w:rsid w:val="00ED3ED8"/>
    <w:rsid w:val="00F21FF6"/>
    <w:rsid w:val="00F816E0"/>
    <w:rsid w:val="00FE09CC"/>
    <w:rsid w:val="00FE7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0C2BDA8-0C7A-4712-99CD-7528E2A2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93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4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93A"/>
    <w:pPr>
      <w:tabs>
        <w:tab w:val="center" w:pos="4513"/>
        <w:tab w:val="right" w:pos="9026"/>
      </w:tabs>
    </w:pPr>
  </w:style>
  <w:style w:type="character" w:customStyle="1" w:styleId="HeaderChar">
    <w:name w:val="Header Char"/>
    <w:basedOn w:val="DefaultParagraphFont"/>
    <w:link w:val="Header"/>
    <w:uiPriority w:val="99"/>
    <w:rsid w:val="0036493A"/>
  </w:style>
  <w:style w:type="paragraph" w:styleId="Footer">
    <w:name w:val="footer"/>
    <w:basedOn w:val="Normal"/>
    <w:link w:val="FooterChar"/>
    <w:uiPriority w:val="99"/>
    <w:unhideWhenUsed/>
    <w:rsid w:val="0036493A"/>
    <w:pPr>
      <w:tabs>
        <w:tab w:val="center" w:pos="4513"/>
        <w:tab w:val="right" w:pos="9026"/>
      </w:tabs>
    </w:pPr>
  </w:style>
  <w:style w:type="character" w:customStyle="1" w:styleId="FooterChar">
    <w:name w:val="Footer Char"/>
    <w:basedOn w:val="DefaultParagraphFont"/>
    <w:link w:val="Footer"/>
    <w:uiPriority w:val="99"/>
    <w:rsid w:val="0036493A"/>
  </w:style>
  <w:style w:type="paragraph" w:customStyle="1" w:styleId="Table-Entry">
    <w:name w:val="Table - Entry"/>
    <w:basedOn w:val="Normal"/>
    <w:rsid w:val="00061385"/>
    <w:pPr>
      <w:widowControl w:val="0"/>
      <w:tabs>
        <w:tab w:val="left" w:pos="205"/>
      </w:tabs>
      <w:autoSpaceDE w:val="0"/>
      <w:autoSpaceDN w:val="0"/>
      <w:adjustRightInd w:val="0"/>
    </w:pPr>
    <w:rPr>
      <w:rFonts w:ascii="Arial" w:eastAsia="Times New Roman" w:hAnsi="Arial" w:cs="Arial"/>
      <w:color w:val="737277"/>
      <w:sz w:val="18"/>
      <w:szCs w:val="18"/>
      <w:lang w:val="en-US"/>
    </w:rPr>
  </w:style>
  <w:style w:type="paragraph" w:styleId="NoSpacing">
    <w:name w:val="No Spacing"/>
    <w:uiPriority w:val="1"/>
    <w:qFormat/>
    <w:rsid w:val="00061385"/>
    <w:pPr>
      <w:spacing w:after="0" w:line="240" w:lineRule="auto"/>
    </w:pPr>
  </w:style>
  <w:style w:type="paragraph" w:styleId="ListParagraph">
    <w:name w:val="List Paragraph"/>
    <w:basedOn w:val="Normal"/>
    <w:uiPriority w:val="34"/>
    <w:qFormat/>
    <w:rsid w:val="00F816E0"/>
    <w:pPr>
      <w:ind w:left="720"/>
      <w:contextualSpacing/>
    </w:pPr>
  </w:style>
  <w:style w:type="paragraph" w:customStyle="1" w:styleId="TOCTitle">
    <w:name w:val="TOC Title"/>
    <w:basedOn w:val="Header"/>
    <w:link w:val="TOCTitleChar"/>
    <w:semiHidden/>
    <w:rsid w:val="00A175AA"/>
    <w:pPr>
      <w:tabs>
        <w:tab w:val="clear" w:pos="4513"/>
        <w:tab w:val="clear" w:pos="9026"/>
        <w:tab w:val="center" w:pos="4320"/>
        <w:tab w:val="right" w:pos="8640"/>
      </w:tabs>
      <w:ind w:left="-336"/>
    </w:pPr>
    <w:rPr>
      <w:rFonts w:ascii="Arial" w:eastAsia="Times New Roman" w:hAnsi="Arial" w:cs="Times New Roman"/>
      <w:color w:val="D2000B"/>
      <w:sz w:val="36"/>
      <w:szCs w:val="36"/>
    </w:rPr>
  </w:style>
  <w:style w:type="character" w:customStyle="1" w:styleId="TOCTitleChar">
    <w:name w:val="TOC Title Char"/>
    <w:link w:val="TOCTitle"/>
    <w:semiHidden/>
    <w:rsid w:val="00A175AA"/>
    <w:rPr>
      <w:rFonts w:ascii="Arial" w:eastAsia="Times New Roman" w:hAnsi="Arial" w:cs="Times New Roman"/>
      <w:color w:val="D2000B"/>
      <w:sz w:val="36"/>
      <w:szCs w:val="36"/>
    </w:rPr>
  </w:style>
  <w:style w:type="paragraph" w:customStyle="1" w:styleId="Normal1">
    <w:name w:val="Normal1"/>
    <w:rsid w:val="00C67D1C"/>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469324">
      <w:bodyDiv w:val="1"/>
      <w:marLeft w:val="0"/>
      <w:marRight w:val="0"/>
      <w:marTop w:val="0"/>
      <w:marBottom w:val="0"/>
      <w:divBdr>
        <w:top w:val="none" w:sz="0" w:space="0" w:color="auto"/>
        <w:left w:val="none" w:sz="0" w:space="0" w:color="auto"/>
        <w:bottom w:val="none" w:sz="0" w:space="0" w:color="auto"/>
        <w:right w:val="none" w:sz="0" w:space="0" w:color="auto"/>
      </w:divBdr>
      <w:divsChild>
        <w:div w:id="374696328">
          <w:marLeft w:val="547"/>
          <w:marRight w:val="0"/>
          <w:marTop w:val="154"/>
          <w:marBottom w:val="0"/>
          <w:divBdr>
            <w:top w:val="none" w:sz="0" w:space="0" w:color="auto"/>
            <w:left w:val="none" w:sz="0" w:space="0" w:color="auto"/>
            <w:bottom w:val="none" w:sz="0" w:space="0" w:color="auto"/>
            <w:right w:val="none" w:sz="0" w:space="0" w:color="auto"/>
          </w:divBdr>
        </w:div>
        <w:div w:id="10454299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Alamidis, Helene H</dc:creator>
  <cp:lastModifiedBy>ALAMIDIS Helene</cp:lastModifiedBy>
  <cp:revision>2</cp:revision>
  <cp:lastPrinted>2016-11-25T01:59:00Z</cp:lastPrinted>
  <dcterms:created xsi:type="dcterms:W3CDTF">2019-07-25T12:59:00Z</dcterms:created>
  <dcterms:modified xsi:type="dcterms:W3CDTF">2019-07-25T12:59:00Z</dcterms:modified>
</cp:coreProperties>
</file>